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3369D" w:rsidRDefault="00E3369D">
      <w:pPr>
        <w:widowControl w:val="0"/>
        <w:pBdr>
          <w:top w:val="nil"/>
          <w:left w:val="nil"/>
          <w:bottom w:val="nil"/>
          <w:right w:val="nil"/>
          <w:between w:val="nil"/>
        </w:pBdr>
        <w:spacing w:after="0"/>
      </w:pPr>
    </w:p>
    <w:p w:rsidR="00E3369D" w:rsidRDefault="00E3369D">
      <w:pPr>
        <w:widowControl w:val="0"/>
        <w:pBdr>
          <w:top w:val="nil"/>
          <w:left w:val="nil"/>
          <w:bottom w:val="nil"/>
          <w:right w:val="nil"/>
          <w:between w:val="nil"/>
        </w:pBdr>
        <w:spacing w:after="0"/>
      </w:pPr>
    </w:p>
    <w:p w:rsidR="00E3369D" w:rsidRDefault="00E3369D">
      <w:pPr>
        <w:widowControl w:val="0"/>
        <w:pBdr>
          <w:top w:val="nil"/>
          <w:left w:val="nil"/>
          <w:bottom w:val="nil"/>
          <w:right w:val="nil"/>
          <w:between w:val="nil"/>
        </w:pBdr>
        <w:spacing w:after="0"/>
      </w:pPr>
      <w:bookmarkStart w:id="0" w:name="_heading=h.2s8eyo1" w:colFirst="0" w:colLast="0"/>
      <w:bookmarkEnd w:id="0"/>
    </w:p>
    <w:p w:rsidR="00E3369D" w:rsidRDefault="005D4E75">
      <w:pPr>
        <w:keepNext/>
        <w:pBdr>
          <w:top w:val="nil"/>
          <w:left w:val="nil"/>
          <w:bottom w:val="nil"/>
          <w:right w:val="nil"/>
          <w:between w:val="nil"/>
        </w:pBdr>
        <w:spacing w:after="240" w:line="240" w:lineRule="auto"/>
        <w:rPr>
          <w:rFonts w:ascii="Arial" w:eastAsia="Arial" w:hAnsi="Arial" w:cs="Arial"/>
          <w:b/>
          <w:color w:val="000000"/>
          <w:sz w:val="36"/>
          <w:szCs w:val="36"/>
        </w:rPr>
      </w:pPr>
      <w:r>
        <w:rPr>
          <w:rFonts w:ascii="Arial" w:eastAsia="Arial" w:hAnsi="Arial" w:cs="Arial"/>
          <w:b/>
          <w:color w:val="000000"/>
          <w:sz w:val="36"/>
          <w:szCs w:val="36"/>
        </w:rPr>
        <w:t>Call-Off Schedule 14 (Key Performance Indicators)</w:t>
      </w:r>
    </w:p>
    <w:p w:rsidR="00E3369D" w:rsidRDefault="005D4E75">
      <w:pPr>
        <w:numPr>
          <w:ilvl w:val="0"/>
          <w:numId w:val="1"/>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Definitions</w:t>
      </w:r>
    </w:p>
    <w:p w:rsidR="00E3369D" w:rsidRDefault="005D4E7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fff0"/>
        <w:tblW w:w="8583" w:type="dxa"/>
        <w:tblInd w:w="9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10"/>
        <w:gridCol w:w="6173"/>
      </w:tblGrid>
      <w:tr w:rsidR="00E3369D">
        <w:tc>
          <w:tcPr>
            <w:tcW w:w="2410" w:type="dxa"/>
            <w:shd w:val="clear" w:color="auto" w:fill="auto"/>
          </w:tcPr>
          <w:p w:rsidR="00E3369D" w:rsidRDefault="005D4E75">
            <w:pPr>
              <w:pBdr>
                <w:top w:val="nil"/>
                <w:left w:val="nil"/>
                <w:bottom w:val="nil"/>
                <w:right w:val="nil"/>
                <w:between w:val="nil"/>
              </w:pBdr>
              <w:spacing w:after="120"/>
              <w:ind w:left="-108"/>
              <w:rPr>
                <w:rFonts w:ascii="Arial" w:eastAsia="Arial" w:hAnsi="Arial" w:cs="Arial"/>
                <w:b/>
                <w:color w:val="000000"/>
                <w:sz w:val="24"/>
                <w:szCs w:val="24"/>
              </w:rPr>
            </w:pPr>
            <w:bookmarkStart w:id="1" w:name="_heading=h.2et92p0" w:colFirst="0" w:colLast="0"/>
            <w:bookmarkEnd w:id="1"/>
            <w:r>
              <w:rPr>
                <w:rFonts w:ascii="Arial" w:eastAsia="Arial" w:hAnsi="Arial" w:cs="Arial"/>
                <w:b/>
                <w:color w:val="000000"/>
                <w:sz w:val="24"/>
                <w:szCs w:val="24"/>
              </w:rPr>
              <w:t>"At Risk Amount"</w:t>
            </w:r>
          </w:p>
        </w:tc>
        <w:tc>
          <w:tcPr>
            <w:tcW w:w="6173" w:type="dxa"/>
            <w:shd w:val="clear" w:color="auto" w:fill="auto"/>
          </w:tcPr>
          <w:p w:rsidR="00E3369D" w:rsidRDefault="005D4E75">
            <w:pPr>
              <w:pBdr>
                <w:top w:val="nil"/>
                <w:left w:val="nil"/>
                <w:bottom w:val="nil"/>
                <w:right w:val="nil"/>
                <w:between w:val="nil"/>
              </w:pBdr>
              <w:tabs>
                <w:tab w:val="left" w:pos="-9"/>
                <w:tab w:val="left" w:pos="-179"/>
              </w:tabs>
              <w:spacing w:after="120"/>
              <w:ind w:left="170" w:hanging="170"/>
              <w:rPr>
                <w:rFonts w:ascii="Arial" w:eastAsia="Arial" w:hAnsi="Arial" w:cs="Arial"/>
                <w:color w:val="000000"/>
                <w:sz w:val="24"/>
                <w:szCs w:val="24"/>
              </w:rPr>
            </w:pPr>
            <w:r>
              <w:rPr>
                <w:rFonts w:ascii="Arial" w:eastAsia="Arial" w:hAnsi="Arial" w:cs="Arial"/>
                <w:color w:val="000000"/>
                <w:sz w:val="24"/>
                <w:szCs w:val="24"/>
              </w:rPr>
              <w:t xml:space="preserve">means in respect of a Service Period, the amount calculated in accordance with Paragraph 3.1 of Part A of this Schedule; </w:t>
            </w:r>
          </w:p>
        </w:tc>
      </w:tr>
      <w:tr w:rsidR="00E3369D">
        <w:tc>
          <w:tcPr>
            <w:tcW w:w="2410" w:type="dxa"/>
            <w:shd w:val="clear" w:color="auto" w:fill="auto"/>
          </w:tcPr>
          <w:p w:rsidR="00E3369D" w:rsidRDefault="005D4E75">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sz w:val="24"/>
                <w:szCs w:val="24"/>
              </w:rPr>
              <w:t>"Earn Back %"</w:t>
            </w:r>
          </w:p>
        </w:tc>
        <w:tc>
          <w:tcPr>
            <w:tcW w:w="6173" w:type="dxa"/>
            <w:shd w:val="clear" w:color="auto" w:fill="auto"/>
          </w:tcPr>
          <w:p w:rsidR="00E3369D" w:rsidRDefault="005D4E75">
            <w:pPr>
              <w:pBdr>
                <w:top w:val="nil"/>
                <w:left w:val="nil"/>
                <w:bottom w:val="nil"/>
                <w:right w:val="nil"/>
                <w:between w:val="nil"/>
              </w:pBdr>
              <w:tabs>
                <w:tab w:val="left" w:pos="-9"/>
                <w:tab w:val="left" w:pos="-179"/>
              </w:tabs>
              <w:spacing w:after="120"/>
              <w:ind w:left="170"/>
              <w:rPr>
                <w:rFonts w:ascii="Arial" w:eastAsia="Arial" w:hAnsi="Arial" w:cs="Arial"/>
                <w:color w:val="000000"/>
                <w:sz w:val="24"/>
                <w:szCs w:val="24"/>
              </w:rPr>
            </w:pPr>
            <w:r>
              <w:rPr>
                <w:rFonts w:ascii="Arial" w:eastAsia="Arial" w:hAnsi="Arial" w:cs="Arial"/>
                <w:sz w:val="24"/>
                <w:szCs w:val="24"/>
              </w:rPr>
              <w:t>means the percentage figure identified as such in the Order Form and which shall be used to determine the proportion of a KPI Credit which may be the subject of any Earn Back;</w:t>
            </w:r>
          </w:p>
        </w:tc>
      </w:tr>
      <w:tr w:rsidR="00E3369D">
        <w:tc>
          <w:tcPr>
            <w:tcW w:w="2410" w:type="dxa"/>
            <w:shd w:val="clear" w:color="auto" w:fill="auto"/>
          </w:tcPr>
          <w:p w:rsidR="00E3369D" w:rsidRDefault="005D4E75">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t>“Full Retention Threshold”</w:t>
            </w:r>
          </w:p>
        </w:tc>
        <w:tc>
          <w:tcPr>
            <w:tcW w:w="6173" w:type="dxa"/>
            <w:shd w:val="clear" w:color="auto" w:fill="auto"/>
          </w:tcPr>
          <w:p w:rsidR="00E3369D" w:rsidRDefault="005D4E75">
            <w:pPr>
              <w:pBdr>
                <w:top w:val="nil"/>
                <w:left w:val="nil"/>
                <w:bottom w:val="nil"/>
                <w:right w:val="nil"/>
                <w:between w:val="nil"/>
              </w:pBdr>
              <w:tabs>
                <w:tab w:val="left" w:pos="-9"/>
                <w:tab w:val="left" w:pos="-179"/>
              </w:tabs>
              <w:spacing w:after="120"/>
              <w:ind w:left="170"/>
              <w:rPr>
                <w:rFonts w:ascii="Arial" w:eastAsia="Arial" w:hAnsi="Arial" w:cs="Arial"/>
                <w:sz w:val="24"/>
                <w:szCs w:val="24"/>
              </w:rPr>
            </w:pPr>
            <w:r>
              <w:rPr>
                <w:rFonts w:ascii="Arial" w:eastAsia="Arial" w:hAnsi="Arial" w:cs="Arial"/>
                <w:color w:val="000000"/>
                <w:sz w:val="24"/>
                <w:szCs w:val="24"/>
              </w:rPr>
              <w:t>shall have the meaning in Part A of this Schedule;</w:t>
            </w:r>
          </w:p>
        </w:tc>
      </w:tr>
      <w:tr w:rsidR="00E3369D">
        <w:tc>
          <w:tcPr>
            <w:tcW w:w="2410" w:type="dxa"/>
            <w:shd w:val="clear" w:color="auto" w:fill="auto"/>
          </w:tcPr>
          <w:p w:rsidR="00E3369D" w:rsidRDefault="005D4E75">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"KPI Credits"</w:t>
            </w:r>
          </w:p>
        </w:tc>
        <w:tc>
          <w:tcPr>
            <w:tcW w:w="6173" w:type="dxa"/>
            <w:shd w:val="clear" w:color="auto" w:fill="auto"/>
          </w:tcPr>
          <w:p w:rsidR="00E3369D" w:rsidRDefault="005D4E75">
            <w:pPr>
              <w:pBdr>
                <w:top w:val="nil"/>
                <w:left w:val="nil"/>
                <w:bottom w:val="nil"/>
                <w:right w:val="nil"/>
                <w:between w:val="nil"/>
              </w:pBdr>
              <w:tabs>
                <w:tab w:val="left" w:pos="-9"/>
                <w:tab w:val="left" w:pos="-179"/>
              </w:tabs>
              <w:spacing w:after="120"/>
              <w:ind w:left="170"/>
              <w:rPr>
                <w:rFonts w:ascii="Arial" w:eastAsia="Arial" w:hAnsi="Arial" w:cs="Arial"/>
                <w:color w:val="000000"/>
                <w:sz w:val="24"/>
                <w:szCs w:val="24"/>
              </w:rPr>
            </w:pPr>
            <w:r>
              <w:rPr>
                <w:rFonts w:ascii="Arial" w:eastAsia="Arial" w:hAnsi="Arial" w:cs="Arial"/>
                <w:color w:val="000000"/>
                <w:sz w:val="24"/>
                <w:szCs w:val="24"/>
              </w:rPr>
              <w:t>any KPI Credits specified in the Annex A and B to Part A of this Schedule being payable by the Supplier to the Buyer in respect of any failure by the Supplier to meet one or more KPI Performance Measures;</w:t>
            </w:r>
          </w:p>
        </w:tc>
      </w:tr>
      <w:tr w:rsidR="00E3369D">
        <w:tc>
          <w:tcPr>
            <w:tcW w:w="2410" w:type="dxa"/>
            <w:shd w:val="clear" w:color="auto" w:fill="auto"/>
          </w:tcPr>
          <w:p w:rsidR="00E3369D" w:rsidRDefault="005D4E75">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 xml:space="preserve">"KPI </w:t>
            </w:r>
            <w:proofErr w:type="spellStart"/>
            <w:r>
              <w:rPr>
                <w:rFonts w:ascii="Arial" w:eastAsia="Arial" w:hAnsi="Arial" w:cs="Arial"/>
                <w:b/>
                <w:color w:val="000000"/>
                <w:sz w:val="24"/>
                <w:szCs w:val="24"/>
              </w:rPr>
              <w:t>Paymech</w:t>
            </w:r>
            <w:proofErr w:type="spellEnd"/>
            <w:r>
              <w:rPr>
                <w:rFonts w:ascii="Arial" w:eastAsia="Arial" w:hAnsi="Arial" w:cs="Arial"/>
                <w:b/>
                <w:color w:val="000000"/>
                <w:sz w:val="24"/>
                <w:szCs w:val="24"/>
              </w:rPr>
              <w:t xml:space="preserve"> Model"</w:t>
            </w:r>
          </w:p>
        </w:tc>
        <w:tc>
          <w:tcPr>
            <w:tcW w:w="6173" w:type="dxa"/>
            <w:shd w:val="clear" w:color="auto" w:fill="auto"/>
          </w:tcPr>
          <w:p w:rsidR="00E3369D" w:rsidRDefault="005D4E75">
            <w:pPr>
              <w:pBdr>
                <w:top w:val="nil"/>
                <w:left w:val="nil"/>
                <w:bottom w:val="nil"/>
                <w:right w:val="nil"/>
                <w:between w:val="nil"/>
              </w:pBdr>
              <w:tabs>
                <w:tab w:val="left" w:pos="-9"/>
                <w:tab w:val="left" w:pos="-179"/>
              </w:tabs>
              <w:spacing w:after="120"/>
              <w:ind w:left="170"/>
              <w:rPr>
                <w:rFonts w:ascii="Arial" w:eastAsia="Arial" w:hAnsi="Arial" w:cs="Arial"/>
                <w:color w:val="000000"/>
                <w:sz w:val="24"/>
                <w:szCs w:val="24"/>
              </w:rPr>
            </w:pPr>
            <w:r>
              <w:rPr>
                <w:rFonts w:ascii="Arial" w:eastAsia="Arial" w:hAnsi="Arial" w:cs="Arial"/>
                <w:sz w:val="24"/>
                <w:szCs w:val="24"/>
              </w:rPr>
              <w:t xml:space="preserve">means the model comprised in the Excel worksheet - KPI </w:t>
            </w:r>
            <w:proofErr w:type="spellStart"/>
            <w:r>
              <w:rPr>
                <w:rFonts w:ascii="Arial" w:eastAsia="Arial" w:hAnsi="Arial" w:cs="Arial"/>
                <w:sz w:val="24"/>
                <w:szCs w:val="24"/>
              </w:rPr>
              <w:t>Paymech</w:t>
            </w:r>
            <w:proofErr w:type="spellEnd"/>
            <w:r>
              <w:rPr>
                <w:rFonts w:ascii="Arial" w:eastAsia="Arial" w:hAnsi="Arial" w:cs="Arial"/>
                <w:sz w:val="24"/>
                <w:szCs w:val="24"/>
              </w:rPr>
              <w:t xml:space="preserve"> Model, and attached</w:t>
            </w:r>
            <w:r>
              <w:rPr>
                <w:rFonts w:ascii="Arial" w:eastAsia="Arial" w:hAnsi="Arial" w:cs="Arial"/>
                <w:color w:val="000000"/>
                <w:sz w:val="24"/>
                <w:szCs w:val="24"/>
              </w:rPr>
              <w:t xml:space="preserve"> in the Annex </w:t>
            </w:r>
            <w:r>
              <w:rPr>
                <w:rFonts w:ascii="Arial" w:eastAsia="Arial" w:hAnsi="Arial" w:cs="Arial"/>
                <w:sz w:val="24"/>
                <w:szCs w:val="24"/>
              </w:rPr>
              <w:t xml:space="preserve">A </w:t>
            </w:r>
            <w:r>
              <w:rPr>
                <w:rFonts w:ascii="Arial" w:eastAsia="Arial" w:hAnsi="Arial" w:cs="Arial"/>
                <w:color w:val="000000"/>
                <w:sz w:val="24"/>
                <w:szCs w:val="24"/>
              </w:rPr>
              <w:t>to Part</w:t>
            </w:r>
            <w:r>
              <w:rPr>
                <w:rFonts w:ascii="Arial" w:eastAsia="Arial" w:hAnsi="Arial" w:cs="Arial"/>
                <w:sz w:val="24"/>
                <w:szCs w:val="24"/>
              </w:rPr>
              <w:t> </w:t>
            </w:r>
            <w:r>
              <w:rPr>
                <w:rFonts w:ascii="Arial" w:eastAsia="Arial" w:hAnsi="Arial" w:cs="Arial"/>
                <w:color w:val="000000"/>
                <w:sz w:val="24"/>
                <w:szCs w:val="24"/>
              </w:rPr>
              <w:t xml:space="preserve">A of this Schedule to </w:t>
            </w:r>
            <w:r>
              <w:rPr>
                <w:rFonts w:ascii="Arial" w:eastAsia="Arial" w:hAnsi="Arial" w:cs="Arial"/>
                <w:sz w:val="24"/>
                <w:szCs w:val="24"/>
              </w:rPr>
              <w:t>be used for calculating any adjustments</w:t>
            </w:r>
            <w:r>
              <w:rPr>
                <w:rFonts w:ascii="Arial" w:eastAsia="Arial" w:hAnsi="Arial" w:cs="Arial"/>
                <w:color w:val="000000"/>
                <w:sz w:val="24"/>
                <w:szCs w:val="24"/>
              </w:rPr>
              <w:t xml:space="preserve"> to </w:t>
            </w:r>
            <w:r>
              <w:rPr>
                <w:rFonts w:ascii="Arial" w:eastAsia="Arial" w:hAnsi="Arial" w:cs="Arial"/>
                <w:sz w:val="24"/>
                <w:szCs w:val="24"/>
              </w:rPr>
              <w:t>the Charges as a result of the operation of the KPI regime in this Schedule</w:t>
            </w:r>
            <w:r>
              <w:rPr>
                <w:rFonts w:ascii="Arial" w:eastAsia="Arial" w:hAnsi="Arial" w:cs="Arial"/>
                <w:color w:val="000000"/>
                <w:sz w:val="24"/>
                <w:szCs w:val="24"/>
              </w:rPr>
              <w:t>;</w:t>
            </w:r>
          </w:p>
        </w:tc>
      </w:tr>
      <w:tr w:rsidR="00E3369D">
        <w:tc>
          <w:tcPr>
            <w:tcW w:w="2410" w:type="dxa"/>
            <w:shd w:val="clear" w:color="auto" w:fill="auto"/>
          </w:tcPr>
          <w:p w:rsidR="00E3369D" w:rsidRDefault="005D4E75">
            <w:pPr>
              <w:spacing w:after="280"/>
              <w:rPr>
                <w:rFonts w:ascii="Arial" w:eastAsia="Arial" w:hAnsi="Arial" w:cs="Arial"/>
                <w:b/>
                <w:color w:val="000000"/>
                <w:sz w:val="24"/>
                <w:szCs w:val="24"/>
              </w:rPr>
            </w:pPr>
            <w:r>
              <w:rPr>
                <w:rFonts w:ascii="Arial" w:eastAsia="Arial" w:hAnsi="Arial" w:cs="Arial"/>
                <w:b/>
                <w:color w:val="000000"/>
                <w:sz w:val="24"/>
                <w:szCs w:val="24"/>
              </w:rPr>
              <w:t xml:space="preserve">“KPI Performance </w:t>
            </w:r>
            <w:proofErr w:type="gramStart"/>
            <w:r>
              <w:rPr>
                <w:rFonts w:ascii="Arial" w:eastAsia="Arial" w:hAnsi="Arial" w:cs="Arial"/>
                <w:b/>
                <w:color w:val="000000"/>
                <w:sz w:val="24"/>
                <w:szCs w:val="24"/>
              </w:rPr>
              <w:t>Measure ”</w:t>
            </w:r>
            <w:proofErr w:type="gramEnd"/>
          </w:p>
          <w:p w:rsidR="00E3369D" w:rsidRDefault="00E3369D">
            <w:pPr>
              <w:pBdr>
                <w:top w:val="nil"/>
                <w:left w:val="nil"/>
                <w:bottom w:val="nil"/>
                <w:right w:val="nil"/>
                <w:between w:val="nil"/>
              </w:pBdr>
              <w:spacing w:after="120"/>
              <w:ind w:left="-108"/>
              <w:rPr>
                <w:rFonts w:ascii="Arial" w:eastAsia="Arial" w:hAnsi="Arial" w:cs="Arial"/>
                <w:b/>
                <w:sz w:val="24"/>
                <w:szCs w:val="24"/>
              </w:rPr>
            </w:pPr>
          </w:p>
        </w:tc>
        <w:tc>
          <w:tcPr>
            <w:tcW w:w="6173" w:type="dxa"/>
            <w:shd w:val="clear" w:color="auto" w:fill="auto"/>
          </w:tcPr>
          <w:p w:rsidR="00E3369D" w:rsidRDefault="005D4E75">
            <w:pPr>
              <w:pBdr>
                <w:top w:val="nil"/>
                <w:left w:val="nil"/>
                <w:bottom w:val="nil"/>
                <w:right w:val="nil"/>
                <w:between w:val="nil"/>
              </w:pBdr>
              <w:tabs>
                <w:tab w:val="left" w:pos="-9"/>
                <w:tab w:val="left" w:pos="-179"/>
              </w:tabs>
              <w:spacing w:after="120"/>
              <w:ind w:left="170"/>
              <w:rPr>
                <w:rFonts w:ascii="Arial" w:eastAsia="Arial" w:hAnsi="Arial" w:cs="Arial"/>
                <w:sz w:val="24"/>
                <w:szCs w:val="24"/>
              </w:rPr>
            </w:pPr>
            <w:r>
              <w:rPr>
                <w:rFonts w:ascii="Arial" w:eastAsia="Arial" w:hAnsi="Arial" w:cs="Arial"/>
                <w:sz w:val="24"/>
                <w:szCs w:val="24"/>
              </w:rPr>
              <w:t xml:space="preserve">means each of the Performance Measures in the column headed "KPI Performance Measure" in the "KPI Measures" tab of the KPI </w:t>
            </w:r>
            <w:proofErr w:type="spellStart"/>
            <w:r>
              <w:rPr>
                <w:rFonts w:ascii="Arial" w:eastAsia="Arial" w:hAnsi="Arial" w:cs="Arial"/>
                <w:sz w:val="24"/>
                <w:szCs w:val="24"/>
              </w:rPr>
              <w:t>Paymech</w:t>
            </w:r>
            <w:proofErr w:type="spellEnd"/>
            <w:r>
              <w:rPr>
                <w:rFonts w:ascii="Arial" w:eastAsia="Arial" w:hAnsi="Arial" w:cs="Arial"/>
                <w:sz w:val="24"/>
                <w:szCs w:val="24"/>
              </w:rPr>
              <w:t xml:space="preserve"> Model and also set out Annex B to Part A of this Schedule</w:t>
            </w:r>
            <w:r>
              <w:rPr>
                <w:rFonts w:ascii="Arial" w:eastAsia="Arial" w:hAnsi="Arial" w:cs="Arial"/>
                <w:color w:val="000000"/>
                <w:sz w:val="24"/>
                <w:szCs w:val="24"/>
              </w:rPr>
              <w:t>;</w:t>
            </w:r>
          </w:p>
        </w:tc>
      </w:tr>
      <w:tr w:rsidR="00E3369D">
        <w:tc>
          <w:tcPr>
            <w:tcW w:w="2410" w:type="dxa"/>
            <w:shd w:val="clear" w:color="auto" w:fill="auto"/>
          </w:tcPr>
          <w:p w:rsidR="00E3369D" w:rsidRDefault="005D4E75">
            <w:pPr>
              <w:pBdr>
                <w:top w:val="nil"/>
                <w:left w:val="nil"/>
                <w:bottom w:val="nil"/>
                <w:right w:val="nil"/>
                <w:between w:val="nil"/>
              </w:pBdr>
              <w:spacing w:after="120"/>
              <w:rPr>
                <w:rFonts w:ascii="Arial" w:eastAsia="Arial" w:hAnsi="Arial" w:cs="Arial"/>
                <w:b/>
              </w:rPr>
            </w:pPr>
            <w:r>
              <w:rPr>
                <w:rFonts w:ascii="Arial" w:eastAsia="Arial" w:hAnsi="Arial" w:cs="Arial"/>
                <w:b/>
                <w:sz w:val="24"/>
                <w:szCs w:val="24"/>
              </w:rPr>
              <w:t xml:space="preserve">“KPI Performance Measure </w:t>
            </w:r>
            <w:proofErr w:type="gramStart"/>
            <w:r>
              <w:rPr>
                <w:rFonts w:ascii="Arial" w:eastAsia="Arial" w:hAnsi="Arial" w:cs="Arial"/>
                <w:b/>
                <w:sz w:val="24"/>
                <w:szCs w:val="24"/>
              </w:rPr>
              <w:t>At</w:t>
            </w:r>
            <w:proofErr w:type="gramEnd"/>
            <w:r>
              <w:rPr>
                <w:rFonts w:ascii="Arial" w:eastAsia="Arial" w:hAnsi="Arial" w:cs="Arial"/>
                <w:b/>
                <w:sz w:val="24"/>
                <w:szCs w:val="24"/>
              </w:rPr>
              <w:t xml:space="preserve"> Risk Amount”</w:t>
            </w:r>
          </w:p>
        </w:tc>
        <w:tc>
          <w:tcPr>
            <w:tcW w:w="6173" w:type="dxa"/>
            <w:shd w:val="clear" w:color="auto" w:fill="auto"/>
          </w:tcPr>
          <w:p w:rsidR="00E3369D" w:rsidRDefault="005D4E75">
            <w:pPr>
              <w:pBdr>
                <w:top w:val="nil"/>
                <w:left w:val="nil"/>
                <w:bottom w:val="nil"/>
                <w:right w:val="nil"/>
                <w:between w:val="nil"/>
              </w:pBdr>
              <w:tabs>
                <w:tab w:val="left" w:pos="-9"/>
                <w:tab w:val="left" w:pos="-179"/>
              </w:tabs>
              <w:spacing w:after="120"/>
              <w:ind w:left="170"/>
              <w:rPr>
                <w:rFonts w:ascii="Arial" w:eastAsia="Arial" w:hAnsi="Arial" w:cs="Arial"/>
                <w:sz w:val="24"/>
                <w:szCs w:val="24"/>
              </w:rPr>
            </w:pPr>
            <w:r>
              <w:rPr>
                <w:rFonts w:ascii="Arial" w:eastAsia="Arial" w:hAnsi="Arial" w:cs="Arial"/>
                <w:color w:val="000000"/>
                <w:sz w:val="24"/>
                <w:szCs w:val="24"/>
              </w:rPr>
              <w:t>means in relation to a KPI Performance Measure in respect of a Service Period, the amount calculated in accordance with Paragraph 3.2 of Part A of this Schedule;</w:t>
            </w:r>
          </w:p>
        </w:tc>
      </w:tr>
      <w:tr w:rsidR="00E3369D">
        <w:tc>
          <w:tcPr>
            <w:tcW w:w="2410" w:type="dxa"/>
            <w:shd w:val="clear" w:color="auto" w:fill="auto"/>
          </w:tcPr>
          <w:p w:rsidR="00E3369D" w:rsidRDefault="005D4E75">
            <w:pPr>
              <w:pBdr>
                <w:top w:val="nil"/>
                <w:left w:val="nil"/>
                <w:bottom w:val="nil"/>
                <w:right w:val="nil"/>
                <w:between w:val="nil"/>
              </w:pBdr>
              <w:spacing w:after="120"/>
              <w:ind w:left="-108"/>
              <w:rPr>
                <w:rFonts w:ascii="Arial" w:eastAsia="Arial" w:hAnsi="Arial" w:cs="Arial"/>
                <w:b/>
                <w:sz w:val="24"/>
                <w:szCs w:val="24"/>
              </w:rPr>
            </w:pPr>
            <w:r>
              <w:rPr>
                <w:rFonts w:ascii="Arial" w:eastAsia="Arial" w:hAnsi="Arial" w:cs="Arial"/>
                <w:b/>
                <w:color w:val="000000"/>
                <w:sz w:val="24"/>
                <w:szCs w:val="24"/>
              </w:rPr>
              <w:t>"KPI Performance Measure Failure"</w:t>
            </w:r>
          </w:p>
        </w:tc>
        <w:tc>
          <w:tcPr>
            <w:tcW w:w="6173" w:type="dxa"/>
            <w:shd w:val="clear" w:color="auto" w:fill="auto"/>
          </w:tcPr>
          <w:p w:rsidR="00E3369D" w:rsidRDefault="005D4E75">
            <w:pPr>
              <w:pBdr>
                <w:top w:val="nil"/>
                <w:left w:val="nil"/>
                <w:bottom w:val="nil"/>
                <w:right w:val="nil"/>
                <w:between w:val="nil"/>
              </w:pBdr>
              <w:tabs>
                <w:tab w:val="left" w:pos="-9"/>
                <w:tab w:val="left" w:pos="-179"/>
              </w:tabs>
              <w:spacing w:after="120"/>
              <w:ind w:left="170"/>
              <w:rPr>
                <w:rFonts w:ascii="Arial" w:eastAsia="Arial" w:hAnsi="Arial" w:cs="Arial"/>
                <w:color w:val="000000"/>
                <w:sz w:val="24"/>
                <w:szCs w:val="24"/>
              </w:rPr>
            </w:pPr>
            <w:r>
              <w:rPr>
                <w:rFonts w:ascii="Arial" w:eastAsia="Arial" w:hAnsi="Arial" w:cs="Arial"/>
                <w:color w:val="000000"/>
                <w:sz w:val="24"/>
                <w:szCs w:val="24"/>
              </w:rPr>
              <w:t>means a failure to meet the KPI Performance Measure in respect of a KPI;</w:t>
            </w:r>
          </w:p>
        </w:tc>
      </w:tr>
      <w:tr w:rsidR="00E3369D">
        <w:tc>
          <w:tcPr>
            <w:tcW w:w="2410" w:type="dxa"/>
            <w:shd w:val="clear" w:color="auto" w:fill="auto"/>
          </w:tcPr>
          <w:p w:rsidR="00E3369D" w:rsidRDefault="005D4E75">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"Performance Monitoring Reports"</w:t>
            </w:r>
          </w:p>
        </w:tc>
        <w:tc>
          <w:tcPr>
            <w:tcW w:w="6173" w:type="dxa"/>
            <w:shd w:val="clear" w:color="auto" w:fill="auto"/>
          </w:tcPr>
          <w:p w:rsidR="00E3369D" w:rsidRDefault="005D4E75">
            <w:pPr>
              <w:pBdr>
                <w:top w:val="nil"/>
                <w:left w:val="nil"/>
                <w:bottom w:val="nil"/>
                <w:right w:val="nil"/>
                <w:between w:val="nil"/>
              </w:pBdr>
              <w:tabs>
                <w:tab w:val="left" w:pos="-9"/>
                <w:tab w:val="left" w:pos="-17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shall have the meaning in Part B of this Schedule; </w:t>
            </w:r>
          </w:p>
        </w:tc>
      </w:tr>
      <w:tr w:rsidR="00E3369D">
        <w:tc>
          <w:tcPr>
            <w:tcW w:w="2410" w:type="dxa"/>
            <w:shd w:val="clear" w:color="auto" w:fill="auto"/>
          </w:tcPr>
          <w:p w:rsidR="00E3369D" w:rsidRDefault="005D4E75">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"Performance Review Meetings"</w:t>
            </w:r>
          </w:p>
        </w:tc>
        <w:tc>
          <w:tcPr>
            <w:tcW w:w="6173" w:type="dxa"/>
            <w:shd w:val="clear" w:color="auto" w:fill="auto"/>
          </w:tcPr>
          <w:p w:rsidR="00E3369D" w:rsidRDefault="005D4E75">
            <w:pPr>
              <w:pBdr>
                <w:top w:val="nil"/>
                <w:left w:val="nil"/>
                <w:bottom w:val="nil"/>
                <w:right w:val="nil"/>
                <w:between w:val="nil"/>
              </w:pBdr>
              <w:tabs>
                <w:tab w:val="left" w:pos="-9"/>
                <w:tab w:val="left" w:pos="-17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shall have the meaning in Part B of this Schedule; </w:t>
            </w:r>
          </w:p>
        </w:tc>
      </w:tr>
      <w:tr w:rsidR="00E3369D">
        <w:tc>
          <w:tcPr>
            <w:tcW w:w="2410" w:type="dxa"/>
            <w:shd w:val="clear" w:color="auto" w:fill="auto"/>
          </w:tcPr>
          <w:p w:rsidR="00E3369D" w:rsidRDefault="005D4E75">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"Persistent KPI Failure"</w:t>
            </w:r>
          </w:p>
        </w:tc>
        <w:tc>
          <w:tcPr>
            <w:tcW w:w="6173" w:type="dxa"/>
            <w:shd w:val="clear" w:color="auto" w:fill="auto"/>
          </w:tcPr>
          <w:p w:rsidR="00E3369D" w:rsidRDefault="005D4E75">
            <w:pPr>
              <w:pBdr>
                <w:top w:val="nil"/>
                <w:left w:val="nil"/>
                <w:bottom w:val="nil"/>
                <w:right w:val="nil"/>
                <w:between w:val="nil"/>
              </w:pBdr>
              <w:tabs>
                <w:tab w:val="left" w:pos="-9"/>
                <w:tab w:val="left" w:pos="-17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the Supplier's actual performance against the KPI Performance Measures falls to or below the standard to which [Paragraph 6 of Part A] of this Schedule refers; </w:t>
            </w:r>
          </w:p>
        </w:tc>
      </w:tr>
    </w:tbl>
    <w:p w:rsidR="00E3369D" w:rsidRDefault="00E3369D">
      <w:pPr>
        <w:pBdr>
          <w:top w:val="nil"/>
          <w:left w:val="nil"/>
          <w:bottom w:val="nil"/>
          <w:right w:val="nil"/>
          <w:between w:val="nil"/>
        </w:pBdr>
        <w:tabs>
          <w:tab w:val="left" w:pos="142"/>
        </w:tabs>
        <w:spacing w:before="240" w:after="120" w:line="240" w:lineRule="auto"/>
        <w:ind w:left="720"/>
        <w:rPr>
          <w:rFonts w:ascii="Arial" w:eastAsia="Arial" w:hAnsi="Arial" w:cs="Arial"/>
          <w:b/>
          <w:sz w:val="24"/>
          <w:szCs w:val="24"/>
        </w:rPr>
      </w:pPr>
    </w:p>
    <w:p w:rsidR="00E3369D" w:rsidRDefault="005D4E75">
      <w:pPr>
        <w:numPr>
          <w:ilvl w:val="0"/>
          <w:numId w:val="1"/>
        </w:numPr>
        <w:pBdr>
          <w:top w:val="nil"/>
          <w:left w:val="nil"/>
          <w:bottom w:val="nil"/>
          <w:right w:val="nil"/>
          <w:between w:val="nil"/>
        </w:pBdr>
        <w:tabs>
          <w:tab w:val="left" w:pos="142"/>
        </w:tabs>
        <w:spacing w:before="240" w:after="120" w:line="240" w:lineRule="auto"/>
        <w:rPr>
          <w:rFonts w:ascii="Arial" w:eastAsia="Arial" w:hAnsi="Arial" w:cs="Arial"/>
          <w:b/>
          <w:smallCaps/>
          <w:color w:val="000000"/>
          <w:sz w:val="24"/>
          <w:szCs w:val="24"/>
        </w:rPr>
      </w:pPr>
      <w:r>
        <w:rPr>
          <w:rFonts w:ascii="Arial" w:eastAsia="Arial" w:hAnsi="Arial" w:cs="Arial"/>
          <w:b/>
          <w:color w:val="000000"/>
          <w:sz w:val="24"/>
          <w:szCs w:val="24"/>
        </w:rPr>
        <w:t>What happens if you don’t meet the KPI Performance Measures</w:t>
      </w:r>
    </w:p>
    <w:p w:rsidR="00E3369D" w:rsidRDefault="005D4E7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at all times provide the Deliverables to meet or exceed the KPI Performance Measures.</w:t>
      </w:r>
    </w:p>
    <w:p w:rsidR="00E3369D" w:rsidRDefault="005D4E7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acknowledges that any KPI Performance Measure Failure shall entitle the Buyer to the rights set out in Part A of this Schedule including t</w:t>
      </w:r>
      <w:r>
        <w:rPr>
          <w:rFonts w:ascii="Arial" w:eastAsia="Arial" w:hAnsi="Arial" w:cs="Arial"/>
          <w:color w:val="000000"/>
          <w:sz w:val="24"/>
          <w:szCs w:val="24"/>
        </w:rPr>
        <w:t>he right to any KPI Credits and that any KPI Credit is a price adjustment and not an estimate of the Loss that may be suffered by the Buyer as a result of the Supplier’s failure to meet any KPI Performance Measure.</w:t>
      </w:r>
    </w:p>
    <w:p w:rsidR="00E3369D" w:rsidRDefault="005D4E7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send Performance Monit</w:t>
      </w:r>
      <w:r>
        <w:rPr>
          <w:rFonts w:ascii="Arial" w:eastAsia="Arial" w:hAnsi="Arial" w:cs="Arial"/>
          <w:color w:val="000000"/>
          <w:sz w:val="24"/>
          <w:szCs w:val="24"/>
        </w:rPr>
        <w:t>oring Reports to the Buyer detailing the level of service which was achieved in accordance with the provisions of Part B (Performance Monitoring) of this Schedule.</w:t>
      </w:r>
    </w:p>
    <w:p w:rsidR="00E3369D" w:rsidRDefault="005D4E7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KPI Credit shall be the Buyer’s exclusive financial remedy for a KPI Performance Measure F</w:t>
      </w:r>
      <w:r>
        <w:rPr>
          <w:rFonts w:ascii="Arial" w:eastAsia="Arial" w:hAnsi="Arial" w:cs="Arial"/>
          <w:color w:val="000000"/>
          <w:sz w:val="24"/>
          <w:szCs w:val="24"/>
        </w:rPr>
        <w:t>ailure except where:</w:t>
      </w:r>
    </w:p>
    <w:p w:rsidR="00E3369D" w:rsidRDefault="005D4E75">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 w:name="_heading=h.1t3h5sf" w:colFirst="0" w:colLast="0"/>
      <w:bookmarkEnd w:id="2"/>
      <w:r>
        <w:rPr>
          <w:rFonts w:ascii="Arial" w:eastAsia="Arial" w:hAnsi="Arial" w:cs="Arial"/>
          <w:color w:val="000000"/>
          <w:sz w:val="24"/>
          <w:szCs w:val="24"/>
        </w:rPr>
        <w:t>the KPI Performance Measure Failure:</w:t>
      </w:r>
    </w:p>
    <w:p w:rsidR="00E3369D" w:rsidRDefault="005D4E75">
      <w:pPr>
        <w:numPr>
          <w:ilvl w:val="3"/>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has arisen due to a Prohibited Act or wilful Default by the Supplier; </w:t>
      </w:r>
    </w:p>
    <w:p w:rsidR="00E3369D" w:rsidRDefault="005D4E75">
      <w:pPr>
        <w:numPr>
          <w:ilvl w:val="3"/>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results in the corruption or loss of any Government Data; and/or</w:t>
      </w:r>
    </w:p>
    <w:p w:rsidR="00E3369D" w:rsidRDefault="005D4E75">
      <w:pPr>
        <w:numPr>
          <w:ilvl w:val="3"/>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results in the Buyer being required to make a compensation payment to one or more third parties.</w:t>
      </w:r>
    </w:p>
    <w:p w:rsidR="00E3369D" w:rsidRDefault="005D4E75">
      <w:pPr>
        <w:numPr>
          <w:ilvl w:val="2"/>
          <w:numId w:val="1"/>
        </w:numPr>
        <w:pBdr>
          <w:top w:val="nil"/>
          <w:left w:val="nil"/>
          <w:bottom w:val="nil"/>
          <w:right w:val="nil"/>
          <w:between w:val="nil"/>
        </w:pBdr>
        <w:spacing w:after="120" w:line="240" w:lineRule="auto"/>
        <w:jc w:val="both"/>
        <w:rPr>
          <w:rFonts w:ascii="Arial" w:eastAsia="Arial" w:hAnsi="Arial" w:cs="Arial"/>
          <w:color w:val="000000"/>
          <w:sz w:val="24"/>
          <w:szCs w:val="24"/>
        </w:rPr>
      </w:pPr>
      <w:r>
        <w:rPr>
          <w:rFonts w:ascii="Arial" w:eastAsia="Arial" w:hAnsi="Arial" w:cs="Arial"/>
          <w:sz w:val="24"/>
          <w:szCs w:val="24"/>
        </w:rPr>
        <w:t>a Persistent KPI Performance Measure Failure occurs and/or the Buyer is otherwise entitled to or does terminate this Contract pursuant to Clause 10.4 of the Co</w:t>
      </w:r>
      <w:r>
        <w:rPr>
          <w:rFonts w:ascii="Arial" w:eastAsia="Arial" w:hAnsi="Arial" w:cs="Arial"/>
          <w:sz w:val="24"/>
          <w:szCs w:val="24"/>
        </w:rPr>
        <w:t>re Terms (When CCS or the Buyer can end a contract).</w:t>
      </w:r>
    </w:p>
    <w:p w:rsidR="00E3369D" w:rsidRDefault="005D4E75">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 w:name="_heading=h.gjdgxs" w:colFirst="0" w:colLast="0"/>
      <w:bookmarkEnd w:id="3"/>
      <w:r>
        <w:rPr>
          <w:rFonts w:ascii="Arial" w:eastAsia="Arial" w:hAnsi="Arial" w:cs="Arial"/>
          <w:color w:val="000000"/>
          <w:sz w:val="24"/>
          <w:szCs w:val="24"/>
        </w:rPr>
        <w:t>the Buyer is entitled to or does terminate this Contract pursuant to Clause 1</w:t>
      </w:r>
      <w:r>
        <w:rPr>
          <w:rFonts w:ascii="Arial" w:eastAsia="Arial" w:hAnsi="Arial" w:cs="Arial"/>
          <w:sz w:val="24"/>
          <w:szCs w:val="24"/>
        </w:rPr>
        <w:t>0</w:t>
      </w:r>
      <w:r>
        <w:rPr>
          <w:rFonts w:ascii="Arial" w:eastAsia="Arial" w:hAnsi="Arial" w:cs="Arial"/>
          <w:color w:val="000000"/>
          <w:sz w:val="24"/>
          <w:szCs w:val="24"/>
        </w:rPr>
        <w:t>.4 of the Core Terms (When CCS or the Buyer can end a contract).</w:t>
      </w:r>
    </w:p>
    <w:p w:rsidR="00E3369D" w:rsidRDefault="005D4E7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 xml:space="preserve">Not more than once in each Contract Year, the Buyer may, on giving the Supplier at least three (3) Months’ notice, change the weighting of KPI Performance Measures and the Supplier shall not be entitled to object to, or increase the Charges as a result of </w:t>
      </w:r>
      <w:r>
        <w:rPr>
          <w:rFonts w:ascii="Arial" w:eastAsia="Arial" w:hAnsi="Arial" w:cs="Arial"/>
          <w:color w:val="000000"/>
          <w:sz w:val="24"/>
          <w:szCs w:val="24"/>
        </w:rPr>
        <w:t>such changes, provided that:</w:t>
      </w:r>
    </w:p>
    <w:p w:rsidR="00E3369D" w:rsidRDefault="005D4E75">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total number of KPI Performance Measures for which the weighting is to be changed does not exceed the number applicable as at the Start Date; </w:t>
      </w:r>
    </w:p>
    <w:p w:rsidR="00E3369D" w:rsidRDefault="005D4E75">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principal purpose of the change is to reflect changes in the Buyer's busines</w:t>
      </w:r>
      <w:r>
        <w:rPr>
          <w:rFonts w:ascii="Arial" w:eastAsia="Arial" w:hAnsi="Arial" w:cs="Arial"/>
          <w:color w:val="000000"/>
          <w:sz w:val="24"/>
          <w:szCs w:val="24"/>
        </w:rPr>
        <w:t>s requirements and/or priorities or to reflect changing industry standards; and</w:t>
      </w:r>
    </w:p>
    <w:p w:rsidR="00E3369D" w:rsidRDefault="005D4E75">
      <w:pPr>
        <w:numPr>
          <w:ilvl w:val="2"/>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there is no change to the </w:t>
      </w:r>
      <w:proofErr w:type="gramStart"/>
      <w:r>
        <w:rPr>
          <w:rFonts w:ascii="Arial" w:eastAsia="Arial" w:hAnsi="Arial" w:cs="Arial"/>
          <w:color w:val="000000"/>
          <w:sz w:val="24"/>
          <w:szCs w:val="24"/>
        </w:rPr>
        <w:t>At Risk</w:t>
      </w:r>
      <w:proofErr w:type="gramEnd"/>
      <w:r>
        <w:rPr>
          <w:rFonts w:ascii="Arial" w:eastAsia="Arial" w:hAnsi="Arial" w:cs="Arial"/>
          <w:color w:val="000000"/>
          <w:sz w:val="24"/>
          <w:szCs w:val="24"/>
        </w:rPr>
        <w:t xml:space="preserve"> Amount.</w:t>
      </w:r>
    </w:p>
    <w:p w:rsidR="00E3369D" w:rsidRDefault="005D4E75">
      <w:pPr>
        <w:numPr>
          <w:ilvl w:val="0"/>
          <w:numId w:val="1"/>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sz w:val="24"/>
          <w:szCs w:val="24"/>
        </w:rPr>
        <w:t>Persistent</w:t>
      </w:r>
      <w:r>
        <w:rPr>
          <w:rFonts w:ascii="Arial" w:eastAsia="Arial" w:hAnsi="Arial" w:cs="Arial"/>
          <w:b/>
          <w:color w:val="000000"/>
          <w:sz w:val="24"/>
          <w:szCs w:val="24"/>
        </w:rPr>
        <w:t xml:space="preserve"> KPI Failure</w:t>
      </w:r>
    </w:p>
    <w:p w:rsidR="00E3369D" w:rsidRDefault="005D4E75">
      <w:pPr>
        <w:pBdr>
          <w:top w:val="nil"/>
          <w:left w:val="nil"/>
          <w:bottom w:val="nil"/>
          <w:right w:val="nil"/>
          <w:between w:val="nil"/>
        </w:pBdr>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 xml:space="preserve">On the occurrence of a </w:t>
      </w:r>
      <w:r>
        <w:rPr>
          <w:rFonts w:ascii="Arial" w:eastAsia="Arial" w:hAnsi="Arial" w:cs="Arial"/>
          <w:sz w:val="24"/>
          <w:szCs w:val="24"/>
        </w:rPr>
        <w:t>Persistent</w:t>
      </w:r>
      <w:r>
        <w:rPr>
          <w:rFonts w:ascii="Arial" w:eastAsia="Arial" w:hAnsi="Arial" w:cs="Arial"/>
          <w:color w:val="000000"/>
          <w:sz w:val="24"/>
          <w:szCs w:val="24"/>
        </w:rPr>
        <w:t xml:space="preserve"> KPI Failure:</w:t>
      </w:r>
    </w:p>
    <w:p w:rsidR="00E3369D" w:rsidRDefault="005D4E7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any KPI Credits that would otherwise have accrued during the relevant Service Period shall not accrue; and</w:t>
      </w:r>
    </w:p>
    <w:p w:rsidR="00E3369D" w:rsidRDefault="005D4E75">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shall be entitled to withhold and retain as compensation a sum equal to any Charges relating to the Persistent KPI Failure which would othe</w:t>
      </w:r>
      <w:r>
        <w:rPr>
          <w:rFonts w:ascii="Arial" w:eastAsia="Arial" w:hAnsi="Arial" w:cs="Arial"/>
          <w:color w:val="000000"/>
          <w:sz w:val="24"/>
          <w:szCs w:val="24"/>
        </w:rPr>
        <w:t>rwise have been due to the Supplier in respect of that Service Period ("</w:t>
      </w:r>
      <w:r>
        <w:rPr>
          <w:rFonts w:ascii="Arial" w:eastAsia="Arial" w:hAnsi="Arial" w:cs="Arial"/>
          <w:b/>
          <w:color w:val="000000"/>
          <w:sz w:val="24"/>
          <w:szCs w:val="24"/>
        </w:rPr>
        <w:t>Compensation for Persistent KPI Failure</w:t>
      </w:r>
      <w:r>
        <w:rPr>
          <w:rFonts w:ascii="Arial" w:eastAsia="Arial" w:hAnsi="Arial" w:cs="Arial"/>
          <w:color w:val="000000"/>
          <w:sz w:val="24"/>
          <w:szCs w:val="24"/>
        </w:rPr>
        <w:t>"),</w:t>
      </w:r>
    </w:p>
    <w:p w:rsidR="00E3369D" w:rsidRDefault="005D4E75">
      <w:pPr>
        <w:pBdr>
          <w:top w:val="nil"/>
          <w:left w:val="nil"/>
          <w:bottom w:val="nil"/>
          <w:right w:val="nil"/>
          <w:between w:val="nil"/>
        </w:pBdr>
        <w:tabs>
          <w:tab w:val="left" w:pos="3402"/>
        </w:tabs>
        <w:spacing w:after="220" w:line="240" w:lineRule="auto"/>
        <w:ind w:left="720"/>
        <w:rPr>
          <w:rFonts w:ascii="Arial" w:eastAsia="Arial" w:hAnsi="Arial" w:cs="Arial"/>
          <w:color w:val="000000"/>
          <w:sz w:val="24"/>
          <w:szCs w:val="24"/>
        </w:rPr>
      </w:pPr>
      <w:r>
        <w:rPr>
          <w:rFonts w:ascii="Arial" w:eastAsia="Arial" w:hAnsi="Arial" w:cs="Arial"/>
          <w:color w:val="000000"/>
          <w:sz w:val="24"/>
          <w:szCs w:val="24"/>
        </w:rPr>
        <w:t>provided that the operation of this paragraph 3 shall be without prejudice to the right of the Buyer to terminate this Contract and/or to cla</w:t>
      </w:r>
      <w:r>
        <w:rPr>
          <w:rFonts w:ascii="Arial" w:eastAsia="Arial" w:hAnsi="Arial" w:cs="Arial"/>
          <w:color w:val="000000"/>
          <w:sz w:val="24"/>
          <w:szCs w:val="24"/>
        </w:rPr>
        <w:t>im damages from the Supplier for material Default.</w:t>
      </w:r>
    </w:p>
    <w:p w:rsidR="00E3369D" w:rsidRDefault="00E3369D">
      <w:pPr>
        <w:keepNext/>
        <w:pBdr>
          <w:top w:val="nil"/>
          <w:left w:val="nil"/>
          <w:bottom w:val="nil"/>
          <w:right w:val="nil"/>
          <w:between w:val="nil"/>
        </w:pBdr>
        <w:spacing w:after="240" w:line="240" w:lineRule="auto"/>
        <w:rPr>
          <w:rFonts w:ascii="Arial" w:eastAsia="Arial" w:hAnsi="Arial" w:cs="Arial"/>
          <w:b/>
          <w:color w:val="000000"/>
          <w:sz w:val="36"/>
          <w:szCs w:val="36"/>
        </w:rPr>
      </w:pPr>
      <w:bookmarkStart w:id="4" w:name="_heading=h.1fob9te" w:colFirst="0" w:colLast="0"/>
      <w:bookmarkEnd w:id="4"/>
    </w:p>
    <w:p w:rsidR="00E3369D" w:rsidRDefault="00E3369D">
      <w:pPr>
        <w:keepNext/>
        <w:pBdr>
          <w:top w:val="nil"/>
          <w:left w:val="nil"/>
          <w:bottom w:val="nil"/>
          <w:right w:val="nil"/>
          <w:between w:val="nil"/>
        </w:pBdr>
        <w:spacing w:after="240" w:line="240" w:lineRule="auto"/>
        <w:rPr>
          <w:rFonts w:ascii="Arial" w:eastAsia="Arial" w:hAnsi="Arial" w:cs="Arial"/>
          <w:b/>
          <w:color w:val="000000"/>
          <w:sz w:val="36"/>
          <w:szCs w:val="36"/>
        </w:rPr>
      </w:pPr>
    </w:p>
    <w:p w:rsidR="00E3369D" w:rsidRDefault="005D4E75">
      <w:pPr>
        <w:keepNext/>
        <w:pBdr>
          <w:top w:val="nil"/>
          <w:left w:val="nil"/>
          <w:bottom w:val="nil"/>
          <w:right w:val="nil"/>
          <w:between w:val="nil"/>
        </w:pBdr>
        <w:spacing w:after="240" w:line="240" w:lineRule="auto"/>
        <w:rPr>
          <w:rFonts w:ascii="Arial" w:eastAsia="Arial" w:hAnsi="Arial" w:cs="Arial"/>
          <w:b/>
          <w:color w:val="000000"/>
          <w:sz w:val="36"/>
          <w:szCs w:val="36"/>
        </w:rPr>
      </w:pPr>
      <w:r>
        <w:rPr>
          <w:rFonts w:ascii="Arial" w:eastAsia="Arial" w:hAnsi="Arial" w:cs="Arial"/>
          <w:b/>
          <w:color w:val="000000"/>
          <w:sz w:val="36"/>
          <w:szCs w:val="36"/>
        </w:rPr>
        <w:t xml:space="preserve">Part A: KPI Performance Measures and KPI Credits </w:t>
      </w:r>
    </w:p>
    <w:p w:rsidR="00E3369D" w:rsidRDefault="005D4E75">
      <w:pPr>
        <w:numPr>
          <w:ilvl w:val="0"/>
          <w:numId w:val="4"/>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KPIs</w:t>
      </w:r>
    </w:p>
    <w:p w:rsidR="00E3369D" w:rsidRDefault="005D4E75">
      <w:pPr>
        <w:pBdr>
          <w:top w:val="nil"/>
          <w:left w:val="nil"/>
          <w:bottom w:val="nil"/>
          <w:right w:val="nil"/>
          <w:between w:val="nil"/>
        </w:pBdr>
        <w:spacing w:before="120" w:after="120" w:line="240" w:lineRule="auto"/>
        <w:ind w:left="720" w:hanging="576"/>
        <w:rPr>
          <w:rFonts w:ascii="Arial" w:eastAsia="Arial" w:hAnsi="Arial" w:cs="Arial"/>
          <w:color w:val="000000"/>
          <w:sz w:val="24"/>
          <w:szCs w:val="24"/>
        </w:rPr>
      </w:pPr>
      <w:r>
        <w:rPr>
          <w:rFonts w:ascii="Arial" w:eastAsia="Arial" w:hAnsi="Arial" w:cs="Arial"/>
          <w:color w:val="000000"/>
          <w:sz w:val="24"/>
          <w:szCs w:val="24"/>
        </w:rPr>
        <w:t>If the level of performance of the Supplier:</w:t>
      </w:r>
    </w:p>
    <w:p w:rsidR="00E3369D" w:rsidRDefault="005D4E75">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is likely to or fails to meet any KPI Performance Measure; or</w:t>
      </w:r>
    </w:p>
    <w:p w:rsidR="00E3369D" w:rsidRDefault="005D4E75">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is likely to cause or causes a Persistent </w:t>
      </w:r>
      <w:proofErr w:type="spellStart"/>
      <w:r>
        <w:rPr>
          <w:rFonts w:ascii="Arial" w:eastAsia="Arial" w:hAnsi="Arial" w:cs="Arial"/>
          <w:color w:val="000000"/>
          <w:sz w:val="24"/>
          <w:szCs w:val="24"/>
        </w:rPr>
        <w:t>KPIFailure</w:t>
      </w:r>
      <w:proofErr w:type="spellEnd"/>
      <w:r>
        <w:rPr>
          <w:rFonts w:ascii="Arial" w:eastAsia="Arial" w:hAnsi="Arial" w:cs="Arial"/>
          <w:color w:val="000000"/>
          <w:sz w:val="24"/>
          <w:szCs w:val="24"/>
        </w:rPr>
        <w:t xml:space="preserve"> to occur, </w:t>
      </w:r>
    </w:p>
    <w:p w:rsidR="00E3369D" w:rsidRDefault="005D4E75">
      <w:pPr>
        <w:pBdr>
          <w:top w:val="nil"/>
          <w:left w:val="nil"/>
          <w:bottom w:val="nil"/>
          <w:right w:val="nil"/>
          <w:between w:val="nil"/>
        </w:pBdr>
        <w:spacing w:before="120" w:after="120" w:line="240" w:lineRule="auto"/>
        <w:ind w:left="720" w:hanging="576"/>
        <w:rPr>
          <w:rFonts w:ascii="Arial" w:eastAsia="Arial" w:hAnsi="Arial" w:cs="Arial"/>
          <w:color w:val="000000"/>
          <w:sz w:val="24"/>
          <w:szCs w:val="24"/>
        </w:rPr>
      </w:pPr>
      <w:r>
        <w:rPr>
          <w:rFonts w:ascii="Arial" w:eastAsia="Arial" w:hAnsi="Arial" w:cs="Arial"/>
          <w:color w:val="000000"/>
          <w:sz w:val="24"/>
          <w:szCs w:val="24"/>
        </w:rPr>
        <w:t>the Supplier shall immediately notify the Buyer in writing and the Buyer, in its absolute discretion and without limiting any other of its rights, may:</w:t>
      </w:r>
    </w:p>
    <w:p w:rsidR="00E3369D" w:rsidRDefault="005D4E75">
      <w:pPr>
        <w:numPr>
          <w:ilvl w:val="2"/>
          <w:numId w:val="5"/>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require the Supplier to immediately take</w:t>
      </w:r>
      <w:r>
        <w:rPr>
          <w:rFonts w:ascii="Arial" w:eastAsia="Arial" w:hAnsi="Arial" w:cs="Arial"/>
          <w:color w:val="000000"/>
          <w:sz w:val="24"/>
          <w:szCs w:val="24"/>
        </w:rPr>
        <w:t xml:space="preserve"> all preventative and/or remedial action that is reasonable to mitigate the impact on the Buyer and to rectify or prevent a KPI Performance Measure Failure or Persistent KPI Failure from taking place or recurring; </w:t>
      </w:r>
    </w:p>
    <w:p w:rsidR="00E3369D" w:rsidRDefault="005D4E75">
      <w:pPr>
        <w:numPr>
          <w:ilvl w:val="2"/>
          <w:numId w:val="5"/>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 xml:space="preserve">instruct the Supplier to comply with the </w:t>
      </w:r>
      <w:r>
        <w:rPr>
          <w:rFonts w:ascii="Arial" w:eastAsia="Arial" w:hAnsi="Arial" w:cs="Arial"/>
          <w:color w:val="000000"/>
          <w:sz w:val="24"/>
          <w:szCs w:val="24"/>
        </w:rPr>
        <w:t xml:space="preserve">Rectification Plan Process; </w:t>
      </w:r>
    </w:p>
    <w:p w:rsidR="00E3369D" w:rsidRDefault="005D4E75">
      <w:pPr>
        <w:numPr>
          <w:ilvl w:val="2"/>
          <w:numId w:val="5"/>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a KPI Performance Measure Failure has occurred, deduct the applicable KPI Credits payable by the Supplier to the Buyer; and/or</w:t>
      </w:r>
    </w:p>
    <w:p w:rsidR="00E3369D" w:rsidRDefault="005D4E75">
      <w:pPr>
        <w:numPr>
          <w:ilvl w:val="2"/>
          <w:numId w:val="5"/>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a Persistent KPI Failure has occurred, exercise its right to Compensation for Persistent KPI F</w:t>
      </w:r>
      <w:r>
        <w:rPr>
          <w:rFonts w:ascii="Arial" w:eastAsia="Arial" w:hAnsi="Arial" w:cs="Arial"/>
          <w:color w:val="000000"/>
          <w:sz w:val="24"/>
          <w:szCs w:val="24"/>
        </w:rPr>
        <w:t>ailure (including the right to terminate for material Default).</w:t>
      </w:r>
    </w:p>
    <w:p w:rsidR="00E3369D" w:rsidRDefault="00E3369D">
      <w:pPr>
        <w:pBdr>
          <w:top w:val="nil"/>
          <w:left w:val="nil"/>
          <w:bottom w:val="nil"/>
          <w:right w:val="nil"/>
          <w:between w:val="nil"/>
        </w:pBdr>
        <w:spacing w:before="120" w:after="120" w:line="240" w:lineRule="auto"/>
        <w:rPr>
          <w:rFonts w:ascii="Arial" w:eastAsia="Arial" w:hAnsi="Arial" w:cs="Arial"/>
          <w:color w:val="000000"/>
          <w:sz w:val="24"/>
          <w:szCs w:val="24"/>
        </w:rPr>
      </w:pPr>
    </w:p>
    <w:p w:rsidR="00E3369D" w:rsidRDefault="005D4E75">
      <w:pPr>
        <w:numPr>
          <w:ilvl w:val="0"/>
          <w:numId w:val="4"/>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KPI Credits</w:t>
      </w:r>
    </w:p>
    <w:p w:rsidR="00E3369D" w:rsidRDefault="005D4E75">
      <w:pPr>
        <w:numPr>
          <w:ilvl w:val="1"/>
          <w:numId w:val="4"/>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shall use the Performance Monitoring Reports supplied by the Supplier to verify the calculation and accuracy of the KPI Credits, if any, applicable to each Service Period.</w:t>
      </w:r>
    </w:p>
    <w:p w:rsidR="00E3369D" w:rsidRDefault="005D4E75">
      <w:pPr>
        <w:numPr>
          <w:ilvl w:val="1"/>
          <w:numId w:val="4"/>
        </w:numPr>
        <w:pBdr>
          <w:top w:val="nil"/>
          <w:left w:val="nil"/>
          <w:bottom w:val="nil"/>
          <w:right w:val="nil"/>
          <w:between w:val="nil"/>
        </w:pBdr>
        <w:spacing w:before="120" w:after="120" w:line="240" w:lineRule="auto"/>
        <w:rPr>
          <w:rFonts w:ascii="Arial" w:eastAsia="Arial" w:hAnsi="Arial" w:cs="Arial"/>
          <w:sz w:val="24"/>
          <w:szCs w:val="24"/>
        </w:rPr>
      </w:pPr>
      <w:r>
        <w:rPr>
          <w:rFonts w:ascii="Arial" w:eastAsia="Arial" w:hAnsi="Arial" w:cs="Arial"/>
          <w:color w:val="000000"/>
          <w:sz w:val="24"/>
          <w:szCs w:val="24"/>
        </w:rPr>
        <w:t xml:space="preserve">KPI Credits are a reduction of the amounts payable in respect of the Deliverables and do not include VAT. The Supplier shall </w:t>
      </w:r>
      <w:r>
        <w:rPr>
          <w:rFonts w:ascii="Arial" w:eastAsia="Arial" w:hAnsi="Arial" w:cs="Arial"/>
          <w:sz w:val="24"/>
          <w:szCs w:val="24"/>
        </w:rPr>
        <w:t>set-off</w:t>
      </w:r>
      <w:r>
        <w:rPr>
          <w:rFonts w:ascii="Arial" w:eastAsia="Arial" w:hAnsi="Arial" w:cs="Arial"/>
          <w:color w:val="000000"/>
          <w:sz w:val="24"/>
          <w:szCs w:val="24"/>
        </w:rPr>
        <w:t xml:space="preserve"> the value of any KPI Credits against the appropriate invoice in accordance with </w:t>
      </w:r>
      <w:r>
        <w:rPr>
          <w:rFonts w:ascii="Arial" w:eastAsia="Arial" w:hAnsi="Arial" w:cs="Arial"/>
          <w:sz w:val="24"/>
          <w:szCs w:val="24"/>
        </w:rPr>
        <w:t xml:space="preserve">the relevant </w:t>
      </w:r>
      <w:r>
        <w:rPr>
          <w:rFonts w:ascii="Arial" w:eastAsia="Arial" w:hAnsi="Arial" w:cs="Arial"/>
          <w:color w:val="000000"/>
          <w:sz w:val="24"/>
          <w:szCs w:val="24"/>
        </w:rPr>
        <w:t>calculation formula detailed i</w:t>
      </w:r>
      <w:r>
        <w:rPr>
          <w:rFonts w:ascii="Arial" w:eastAsia="Arial" w:hAnsi="Arial" w:cs="Arial"/>
          <w:color w:val="000000"/>
          <w:sz w:val="24"/>
          <w:szCs w:val="24"/>
        </w:rPr>
        <w:t>n clause 3 below</w:t>
      </w:r>
      <w:r>
        <w:rPr>
          <w:rFonts w:ascii="Arial" w:eastAsia="Arial" w:hAnsi="Arial" w:cs="Arial"/>
          <w:sz w:val="24"/>
          <w:szCs w:val="24"/>
        </w:rPr>
        <w:t xml:space="preserve">. </w:t>
      </w:r>
    </w:p>
    <w:p w:rsidR="00E3369D" w:rsidRDefault="005D4E75">
      <w:pPr>
        <w:numPr>
          <w:ilvl w:val="0"/>
          <w:numId w:val="4"/>
        </w:numPr>
        <w:pBdr>
          <w:top w:val="nil"/>
          <w:left w:val="nil"/>
          <w:bottom w:val="nil"/>
          <w:right w:val="nil"/>
          <w:between w:val="nil"/>
        </w:pBdr>
        <w:spacing w:after="240" w:line="240" w:lineRule="auto"/>
        <w:jc w:val="both"/>
        <w:rPr>
          <w:rFonts w:ascii="Arial" w:eastAsia="Arial" w:hAnsi="Arial" w:cs="Arial"/>
          <w:color w:val="000000"/>
        </w:rPr>
      </w:pPr>
      <w:bookmarkStart w:id="5" w:name="_heading=h.17dp8vu" w:colFirst="0" w:colLast="0"/>
      <w:bookmarkEnd w:id="5"/>
      <w:r>
        <w:rPr>
          <w:rFonts w:ascii="Arial" w:eastAsia="Arial" w:hAnsi="Arial" w:cs="Arial"/>
          <w:b/>
          <w:color w:val="000000"/>
          <w:sz w:val="24"/>
          <w:szCs w:val="24"/>
        </w:rPr>
        <w:t>KPI</w:t>
      </w:r>
      <w:r>
        <w:rPr>
          <w:rFonts w:ascii="Arial" w:eastAsia="Arial" w:hAnsi="Arial" w:cs="Arial"/>
          <w:b/>
          <w:smallCaps/>
          <w:color w:val="000000"/>
          <w:sz w:val="24"/>
          <w:szCs w:val="24"/>
        </w:rPr>
        <w:t xml:space="preserve"> </w:t>
      </w:r>
      <w:r>
        <w:rPr>
          <w:rFonts w:ascii="Arial" w:eastAsia="Arial" w:hAnsi="Arial" w:cs="Arial"/>
          <w:b/>
          <w:color w:val="000000"/>
          <w:sz w:val="24"/>
          <w:szCs w:val="24"/>
        </w:rPr>
        <w:t>Credit Calculation</w:t>
      </w:r>
    </w:p>
    <w:p w:rsidR="00E3369D" w:rsidRDefault="005D4E75">
      <w:pPr>
        <w:numPr>
          <w:ilvl w:val="1"/>
          <w:numId w:val="4"/>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bookmarkStart w:id="6" w:name="_heading=h.3rdcrjn" w:colFirst="0" w:colLast="0"/>
      <w:bookmarkEnd w:id="6"/>
      <w:r>
        <w:rPr>
          <w:rFonts w:ascii="Arial" w:eastAsia="Arial" w:hAnsi="Arial" w:cs="Arial"/>
          <w:color w:val="000000"/>
          <w:sz w:val="24"/>
          <w:szCs w:val="24"/>
        </w:rPr>
        <w:t>At Risk Amount</w:t>
      </w:r>
    </w:p>
    <w:p w:rsidR="00E3369D" w:rsidRDefault="005D4E75">
      <w:pPr>
        <w:numPr>
          <w:ilvl w:val="2"/>
          <w:numId w:val="4"/>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bookmarkStart w:id="7" w:name="_heading=h.26in1rg" w:colFirst="0" w:colLast="0"/>
      <w:bookmarkEnd w:id="7"/>
      <w:r>
        <w:rPr>
          <w:rFonts w:ascii="Arial" w:eastAsia="Arial" w:hAnsi="Arial" w:cs="Arial"/>
          <w:color w:val="000000"/>
          <w:sz w:val="24"/>
          <w:szCs w:val="24"/>
        </w:rPr>
        <w:t xml:space="preserve">For a Service Period, the </w:t>
      </w:r>
      <w:proofErr w:type="gramStart"/>
      <w:r>
        <w:rPr>
          <w:rFonts w:ascii="Arial" w:eastAsia="Arial" w:hAnsi="Arial" w:cs="Arial"/>
          <w:color w:val="000000"/>
          <w:sz w:val="24"/>
          <w:szCs w:val="24"/>
        </w:rPr>
        <w:t>At Risk</w:t>
      </w:r>
      <w:proofErr w:type="gramEnd"/>
      <w:r>
        <w:rPr>
          <w:rFonts w:ascii="Arial" w:eastAsia="Arial" w:hAnsi="Arial" w:cs="Arial"/>
          <w:color w:val="000000"/>
          <w:sz w:val="24"/>
          <w:szCs w:val="24"/>
        </w:rPr>
        <w:t xml:space="preserve"> Amount shall be calculated in accordance with [</w:t>
      </w:r>
      <w:r>
        <w:rPr>
          <w:rFonts w:ascii="Arial" w:eastAsia="Arial" w:hAnsi="Arial" w:cs="Arial"/>
          <w:color w:val="000000"/>
          <w:sz w:val="24"/>
          <w:szCs w:val="24"/>
          <w:highlight w:val="yellow"/>
        </w:rPr>
        <w:t xml:space="preserve">Section 2 - Calculation of Monthly Value at Risk, of the </w:t>
      </w:r>
      <w:proofErr w:type="spellStart"/>
      <w:r>
        <w:rPr>
          <w:rFonts w:ascii="Arial" w:eastAsia="Arial" w:hAnsi="Arial" w:cs="Arial"/>
          <w:color w:val="000000"/>
          <w:sz w:val="24"/>
          <w:szCs w:val="24"/>
          <w:highlight w:val="yellow"/>
        </w:rPr>
        <w:t>Paymech</w:t>
      </w:r>
      <w:proofErr w:type="spellEnd"/>
      <w:r>
        <w:rPr>
          <w:rFonts w:ascii="Arial" w:eastAsia="Arial" w:hAnsi="Arial" w:cs="Arial"/>
          <w:color w:val="000000"/>
          <w:sz w:val="24"/>
          <w:szCs w:val="24"/>
          <w:highlight w:val="yellow"/>
        </w:rPr>
        <w:t xml:space="preserve"> Calc Overview tab of the </w:t>
      </w:r>
      <w:r>
        <w:rPr>
          <w:rFonts w:ascii="Arial" w:eastAsia="Arial" w:hAnsi="Arial" w:cs="Arial"/>
          <w:color w:val="222222"/>
          <w:sz w:val="24"/>
          <w:szCs w:val="24"/>
          <w:highlight w:val="yellow"/>
        </w:rPr>
        <w:t xml:space="preserve">KPI </w:t>
      </w:r>
      <w:proofErr w:type="spellStart"/>
      <w:r>
        <w:rPr>
          <w:rFonts w:ascii="Arial" w:eastAsia="Arial" w:hAnsi="Arial" w:cs="Arial"/>
          <w:color w:val="222222"/>
          <w:sz w:val="24"/>
          <w:szCs w:val="24"/>
          <w:highlight w:val="yellow"/>
        </w:rPr>
        <w:t>Paymech</w:t>
      </w:r>
      <w:proofErr w:type="spellEnd"/>
      <w:r>
        <w:rPr>
          <w:rFonts w:ascii="Arial" w:eastAsia="Arial" w:hAnsi="Arial" w:cs="Arial"/>
          <w:color w:val="222222"/>
          <w:sz w:val="24"/>
          <w:szCs w:val="24"/>
          <w:highlight w:val="yellow"/>
        </w:rPr>
        <w:t xml:space="preserve"> Model</w:t>
      </w:r>
      <w:r>
        <w:rPr>
          <w:rFonts w:ascii="Arial" w:eastAsia="Arial" w:hAnsi="Arial" w:cs="Arial"/>
          <w:color w:val="222222"/>
          <w:sz w:val="24"/>
          <w:szCs w:val="24"/>
          <w:highlight w:val="white"/>
        </w:rPr>
        <w:t>]</w:t>
      </w:r>
      <w:r>
        <w:rPr>
          <w:rFonts w:ascii="Arial" w:eastAsia="Arial" w:hAnsi="Arial" w:cs="Arial"/>
          <w:color w:val="000000"/>
          <w:sz w:val="24"/>
          <w:szCs w:val="24"/>
        </w:rPr>
        <w:t>.</w:t>
      </w:r>
    </w:p>
    <w:p w:rsidR="00E3369D" w:rsidRDefault="005D4E75">
      <w:pPr>
        <w:numPr>
          <w:ilvl w:val="1"/>
          <w:numId w:val="4"/>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bookmarkStart w:id="8" w:name="_heading=h.lnxbz9" w:colFirst="0" w:colLast="0"/>
      <w:bookmarkEnd w:id="8"/>
      <w:r>
        <w:rPr>
          <w:rFonts w:ascii="Arial" w:eastAsia="Arial" w:hAnsi="Arial" w:cs="Arial"/>
          <w:color w:val="000000"/>
          <w:sz w:val="24"/>
          <w:szCs w:val="24"/>
        </w:rPr>
        <w:t xml:space="preserve">KPI Performance Measure </w:t>
      </w:r>
      <w:proofErr w:type="gramStart"/>
      <w:r>
        <w:rPr>
          <w:rFonts w:ascii="Arial" w:eastAsia="Arial" w:hAnsi="Arial" w:cs="Arial"/>
          <w:color w:val="000000"/>
          <w:sz w:val="24"/>
          <w:szCs w:val="24"/>
        </w:rPr>
        <w:t>At</w:t>
      </w:r>
      <w:proofErr w:type="gramEnd"/>
      <w:r>
        <w:rPr>
          <w:rFonts w:ascii="Arial" w:eastAsia="Arial" w:hAnsi="Arial" w:cs="Arial"/>
          <w:color w:val="000000"/>
          <w:sz w:val="24"/>
          <w:szCs w:val="24"/>
        </w:rPr>
        <w:t xml:space="preserve"> Risk Amount </w:t>
      </w:r>
    </w:p>
    <w:p w:rsidR="00E3369D" w:rsidRDefault="005D4E75">
      <w:pPr>
        <w:numPr>
          <w:ilvl w:val="2"/>
          <w:numId w:val="4"/>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KPI Performance Measure </w:t>
      </w:r>
      <w:proofErr w:type="gramStart"/>
      <w:r>
        <w:rPr>
          <w:rFonts w:ascii="Arial" w:eastAsia="Arial" w:hAnsi="Arial" w:cs="Arial"/>
          <w:color w:val="000000"/>
          <w:sz w:val="24"/>
          <w:szCs w:val="24"/>
        </w:rPr>
        <w:t>At</w:t>
      </w:r>
      <w:proofErr w:type="gramEnd"/>
      <w:r>
        <w:rPr>
          <w:rFonts w:ascii="Arial" w:eastAsia="Arial" w:hAnsi="Arial" w:cs="Arial"/>
          <w:color w:val="000000"/>
          <w:sz w:val="24"/>
          <w:szCs w:val="24"/>
        </w:rPr>
        <w:t xml:space="preserve"> Risk Amount shall be calculated as follows: for each KPI Performance Measure, the At Risk Amount shall be apportioned to it in accordance with the KPI Measure Weightings in the column h</w:t>
      </w:r>
      <w:r>
        <w:rPr>
          <w:rFonts w:ascii="Arial" w:eastAsia="Arial" w:hAnsi="Arial" w:cs="Arial"/>
          <w:color w:val="000000"/>
          <w:sz w:val="24"/>
          <w:szCs w:val="24"/>
        </w:rPr>
        <w:t xml:space="preserve">eaded KPI Measure Weighting % in the KPI Performance Measures Table 2 of the KPI Measures tab of the KPI </w:t>
      </w:r>
      <w:proofErr w:type="spellStart"/>
      <w:r>
        <w:rPr>
          <w:rFonts w:ascii="Arial" w:eastAsia="Arial" w:hAnsi="Arial" w:cs="Arial"/>
          <w:color w:val="000000"/>
          <w:sz w:val="24"/>
          <w:szCs w:val="24"/>
        </w:rPr>
        <w:t>Paymech</w:t>
      </w:r>
      <w:proofErr w:type="spellEnd"/>
      <w:r>
        <w:rPr>
          <w:rFonts w:ascii="Arial" w:eastAsia="Arial" w:hAnsi="Arial" w:cs="Arial"/>
          <w:color w:val="000000"/>
          <w:sz w:val="24"/>
          <w:szCs w:val="24"/>
        </w:rPr>
        <w:t xml:space="preserve"> Model.</w:t>
      </w:r>
    </w:p>
    <w:p w:rsidR="00E3369D" w:rsidRDefault="005D4E75">
      <w:pPr>
        <w:numPr>
          <w:ilvl w:val="1"/>
          <w:numId w:val="4"/>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bookmarkStart w:id="9" w:name="_heading=h.35nkun2" w:colFirst="0" w:colLast="0"/>
      <w:bookmarkEnd w:id="9"/>
      <w:r>
        <w:rPr>
          <w:rFonts w:ascii="Arial" w:eastAsia="Arial" w:hAnsi="Arial" w:cs="Arial"/>
          <w:color w:val="000000"/>
          <w:sz w:val="24"/>
          <w:szCs w:val="24"/>
        </w:rPr>
        <w:t xml:space="preserve">KPI Credit </w:t>
      </w:r>
    </w:p>
    <w:p w:rsidR="00E3369D" w:rsidRDefault="005D4E75">
      <w:pPr>
        <w:numPr>
          <w:ilvl w:val="2"/>
          <w:numId w:val="4"/>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KPI Credit to be applied to a KPI Performance Measure in a Service Period for a KPI Performance Measure Failure shall be</w:t>
      </w:r>
      <w:r>
        <w:rPr>
          <w:rFonts w:ascii="Arial" w:eastAsia="Arial" w:hAnsi="Arial" w:cs="Arial"/>
          <w:color w:val="000000"/>
          <w:sz w:val="24"/>
          <w:szCs w:val="24"/>
        </w:rPr>
        <w:t xml:space="preserve"> calculated in accordance with the KPI Measures tab of the KPI </w:t>
      </w:r>
      <w:proofErr w:type="spellStart"/>
      <w:r>
        <w:rPr>
          <w:rFonts w:ascii="Arial" w:eastAsia="Arial" w:hAnsi="Arial" w:cs="Arial"/>
          <w:color w:val="000000"/>
          <w:sz w:val="24"/>
          <w:szCs w:val="24"/>
        </w:rPr>
        <w:t>Paymech</w:t>
      </w:r>
      <w:proofErr w:type="spellEnd"/>
      <w:r>
        <w:rPr>
          <w:rFonts w:ascii="Arial" w:eastAsia="Arial" w:hAnsi="Arial" w:cs="Arial"/>
          <w:color w:val="000000"/>
          <w:sz w:val="24"/>
          <w:szCs w:val="24"/>
        </w:rPr>
        <w:t xml:space="preserve"> Model by:</w:t>
      </w:r>
    </w:p>
    <w:p w:rsidR="00E3369D" w:rsidRDefault="005D4E75">
      <w:pPr>
        <w:numPr>
          <w:ilvl w:val="3"/>
          <w:numId w:val="4"/>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deducting from 100% the actual standard of performance (as a </w:t>
      </w:r>
      <w:proofErr w:type="gramStart"/>
      <w:r>
        <w:rPr>
          <w:rFonts w:ascii="Arial" w:eastAsia="Arial" w:hAnsi="Arial" w:cs="Arial"/>
          <w:color w:val="000000"/>
          <w:sz w:val="24"/>
          <w:szCs w:val="24"/>
        </w:rPr>
        <w:t>percentage criteria</w:t>
      </w:r>
      <w:proofErr w:type="gramEnd"/>
      <w:r>
        <w:rPr>
          <w:rFonts w:ascii="Arial" w:eastAsia="Arial" w:hAnsi="Arial" w:cs="Arial"/>
          <w:color w:val="000000"/>
          <w:sz w:val="24"/>
          <w:szCs w:val="24"/>
        </w:rPr>
        <w:t xml:space="preserve"> and scoring scales set by the Buyer) achieved by the Supplier against the KPI Performance Measure in that Service Period; and </w:t>
      </w:r>
    </w:p>
    <w:p w:rsidR="00E3369D" w:rsidRDefault="005D4E75">
      <w:pPr>
        <w:numPr>
          <w:ilvl w:val="3"/>
          <w:numId w:val="4"/>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multiplying the resultant percentage by the KPI </w:t>
      </w:r>
      <w:r>
        <w:rPr>
          <w:rFonts w:ascii="Arial" w:eastAsia="Arial" w:hAnsi="Arial" w:cs="Arial"/>
          <w:color w:val="000000"/>
          <w:sz w:val="24"/>
          <w:szCs w:val="24"/>
        </w:rPr>
        <w:t xml:space="preserve">Performance Measure </w:t>
      </w:r>
      <w:proofErr w:type="gramStart"/>
      <w:r>
        <w:rPr>
          <w:rFonts w:ascii="Arial" w:eastAsia="Arial" w:hAnsi="Arial" w:cs="Arial"/>
          <w:color w:val="000000"/>
          <w:sz w:val="24"/>
          <w:szCs w:val="24"/>
        </w:rPr>
        <w:t>At</w:t>
      </w:r>
      <w:proofErr w:type="gramEnd"/>
      <w:r>
        <w:rPr>
          <w:rFonts w:ascii="Arial" w:eastAsia="Arial" w:hAnsi="Arial" w:cs="Arial"/>
          <w:color w:val="000000"/>
          <w:sz w:val="24"/>
          <w:szCs w:val="24"/>
        </w:rPr>
        <w:t xml:space="preserve"> Risk Amount.</w:t>
      </w:r>
    </w:p>
    <w:p w:rsidR="00E3369D" w:rsidRDefault="00E3369D">
      <w:pPr>
        <w:pBdr>
          <w:top w:val="nil"/>
          <w:left w:val="nil"/>
          <w:bottom w:val="nil"/>
          <w:right w:val="nil"/>
          <w:between w:val="nil"/>
        </w:pBdr>
        <w:tabs>
          <w:tab w:val="left" w:pos="144"/>
        </w:tabs>
        <w:spacing w:after="120" w:line="240" w:lineRule="auto"/>
        <w:ind w:left="2880"/>
        <w:jc w:val="both"/>
        <w:rPr>
          <w:rFonts w:ascii="Arial" w:eastAsia="Arial" w:hAnsi="Arial" w:cs="Arial"/>
          <w:color w:val="000000"/>
          <w:sz w:val="24"/>
          <w:szCs w:val="24"/>
        </w:rPr>
      </w:pPr>
    </w:p>
    <w:p w:rsidR="00E3369D" w:rsidRDefault="005D4E75">
      <w:pPr>
        <w:numPr>
          <w:ilvl w:val="0"/>
          <w:numId w:val="4"/>
        </w:numPr>
        <w:pBdr>
          <w:top w:val="nil"/>
          <w:left w:val="nil"/>
          <w:bottom w:val="nil"/>
          <w:right w:val="nil"/>
          <w:between w:val="nil"/>
        </w:pBdr>
        <w:spacing w:after="240" w:line="240" w:lineRule="auto"/>
        <w:jc w:val="both"/>
        <w:rPr>
          <w:rFonts w:ascii="Arial" w:eastAsia="Arial" w:hAnsi="Arial" w:cs="Arial"/>
          <w:color w:val="000000"/>
        </w:rPr>
      </w:pPr>
      <w:bookmarkStart w:id="10" w:name="_heading=h.1ksv4uv" w:colFirst="0" w:colLast="0"/>
      <w:bookmarkEnd w:id="10"/>
      <w:r>
        <w:rPr>
          <w:rFonts w:ascii="Arial" w:eastAsia="Arial" w:hAnsi="Arial" w:cs="Arial"/>
          <w:b/>
          <w:color w:val="000000"/>
        </w:rPr>
        <w:lastRenderedPageBreak/>
        <w:t>KPI Credit – Full Retention Threshold (Optional)</w:t>
      </w:r>
    </w:p>
    <w:p w:rsidR="00E3369D" w:rsidRDefault="005D4E75">
      <w:pPr>
        <w:numPr>
          <w:ilvl w:val="1"/>
          <w:numId w:val="4"/>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bookmarkStart w:id="11" w:name="_heading=h.44sinio" w:colFirst="0" w:colLast="0"/>
      <w:bookmarkEnd w:id="11"/>
      <w:r>
        <w:rPr>
          <w:rFonts w:ascii="Arial" w:eastAsia="Arial" w:hAnsi="Arial" w:cs="Arial"/>
          <w:color w:val="000000"/>
          <w:sz w:val="24"/>
          <w:szCs w:val="24"/>
        </w:rPr>
        <w:t>An optional ‘Full Retention Threshold</w:t>
      </w:r>
      <w:proofErr w:type="gramStart"/>
      <w:r>
        <w:rPr>
          <w:rFonts w:ascii="Arial" w:eastAsia="Arial" w:hAnsi="Arial" w:cs="Arial"/>
          <w:color w:val="000000"/>
          <w:sz w:val="24"/>
          <w:szCs w:val="24"/>
        </w:rPr>
        <w:t>’  can</w:t>
      </w:r>
      <w:proofErr w:type="gramEnd"/>
      <w:r>
        <w:rPr>
          <w:rFonts w:ascii="Arial" w:eastAsia="Arial" w:hAnsi="Arial" w:cs="Arial"/>
          <w:color w:val="000000"/>
          <w:sz w:val="24"/>
          <w:szCs w:val="24"/>
        </w:rPr>
        <w:t xml:space="preserve"> apply to the calculation of KPI Credits where the KPI Measure Weighting % (set by the Buyer) against each KPI Performance Measure that fails, equals or exceeds a ‘Full Retention Threshold %’ (set by the Buyer). </w:t>
      </w:r>
    </w:p>
    <w:p w:rsidR="00E3369D" w:rsidRDefault="005D4E75">
      <w:pPr>
        <w:numPr>
          <w:ilvl w:val="1"/>
          <w:numId w:val="4"/>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Where the ‘Full Retention Threshold %’ (set by the Buyer) is met or exceeded, the full ‘At Risk Amount’ for that Service Period will be deducted.</w:t>
      </w:r>
    </w:p>
    <w:p w:rsidR="00E3369D" w:rsidRDefault="005D4E75">
      <w:pPr>
        <w:numPr>
          <w:ilvl w:val="1"/>
          <w:numId w:val="4"/>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value of </w:t>
      </w:r>
      <w:proofErr w:type="gramStart"/>
      <w:r>
        <w:rPr>
          <w:rFonts w:ascii="Arial" w:eastAsia="Arial" w:hAnsi="Arial" w:cs="Arial"/>
          <w:color w:val="000000"/>
          <w:sz w:val="24"/>
          <w:szCs w:val="24"/>
        </w:rPr>
        <w:t>the  Full</w:t>
      </w:r>
      <w:proofErr w:type="gramEnd"/>
      <w:r>
        <w:rPr>
          <w:rFonts w:ascii="Arial" w:eastAsia="Arial" w:hAnsi="Arial" w:cs="Arial"/>
          <w:color w:val="000000"/>
          <w:sz w:val="24"/>
          <w:szCs w:val="24"/>
        </w:rPr>
        <w:t xml:space="preserve"> Retention Threshold % and when it is to be applied pursuant to Paragraph 4.1, </w:t>
      </w:r>
      <w:r>
        <w:rPr>
          <w:rFonts w:ascii="Arial" w:eastAsia="Arial" w:hAnsi="Arial" w:cs="Arial"/>
          <w:color w:val="222222"/>
          <w:sz w:val="24"/>
          <w:szCs w:val="24"/>
          <w:highlight w:val="white"/>
        </w:rPr>
        <w:t>is set ou</w:t>
      </w:r>
      <w:r>
        <w:rPr>
          <w:rFonts w:ascii="Arial" w:eastAsia="Arial" w:hAnsi="Arial" w:cs="Arial"/>
          <w:color w:val="222222"/>
          <w:sz w:val="24"/>
          <w:szCs w:val="24"/>
          <w:highlight w:val="white"/>
        </w:rPr>
        <w:t>t in the KPI Measures</w:t>
      </w:r>
      <w:r>
        <w:rPr>
          <w:rFonts w:ascii="Arial" w:eastAsia="Arial" w:hAnsi="Arial" w:cs="Arial"/>
          <w:color w:val="222222"/>
          <w:sz w:val="24"/>
          <w:szCs w:val="24"/>
        </w:rPr>
        <w:t xml:space="preserve"> tab</w:t>
      </w:r>
      <w:r>
        <w:rPr>
          <w:rFonts w:ascii="Arial" w:eastAsia="Arial" w:hAnsi="Arial" w:cs="Arial"/>
          <w:color w:val="222222"/>
          <w:sz w:val="24"/>
          <w:szCs w:val="24"/>
          <w:highlight w:val="white"/>
        </w:rPr>
        <w:t xml:space="preserve"> of the </w:t>
      </w:r>
      <w:r>
        <w:rPr>
          <w:rFonts w:ascii="Arial" w:eastAsia="Arial" w:hAnsi="Arial" w:cs="Arial"/>
          <w:color w:val="222222"/>
          <w:sz w:val="24"/>
          <w:szCs w:val="24"/>
        </w:rPr>
        <w:t xml:space="preserve">KPI </w:t>
      </w:r>
      <w:proofErr w:type="spellStart"/>
      <w:r>
        <w:rPr>
          <w:rFonts w:ascii="Arial" w:eastAsia="Arial" w:hAnsi="Arial" w:cs="Arial"/>
          <w:color w:val="222222"/>
          <w:sz w:val="24"/>
          <w:szCs w:val="24"/>
        </w:rPr>
        <w:t>Paymech</w:t>
      </w:r>
      <w:proofErr w:type="spellEnd"/>
      <w:r>
        <w:rPr>
          <w:rFonts w:ascii="Arial" w:eastAsia="Arial" w:hAnsi="Arial" w:cs="Arial"/>
          <w:color w:val="222222"/>
          <w:sz w:val="24"/>
          <w:szCs w:val="24"/>
        </w:rPr>
        <w:t xml:space="preserve"> Model</w:t>
      </w:r>
      <w:r>
        <w:rPr>
          <w:rFonts w:ascii="Arial" w:eastAsia="Arial" w:hAnsi="Arial" w:cs="Arial"/>
          <w:color w:val="000000"/>
          <w:sz w:val="24"/>
          <w:szCs w:val="24"/>
        </w:rPr>
        <w:t>.</w:t>
      </w:r>
    </w:p>
    <w:p w:rsidR="00E3369D" w:rsidRDefault="00E3369D">
      <w:pPr>
        <w:pBdr>
          <w:top w:val="nil"/>
          <w:left w:val="nil"/>
          <w:bottom w:val="nil"/>
          <w:right w:val="nil"/>
          <w:between w:val="nil"/>
        </w:pBdr>
        <w:tabs>
          <w:tab w:val="left" w:pos="144"/>
        </w:tabs>
        <w:spacing w:after="120" w:line="240" w:lineRule="auto"/>
        <w:ind w:left="1440"/>
        <w:jc w:val="both"/>
        <w:rPr>
          <w:rFonts w:ascii="Arial" w:eastAsia="Arial" w:hAnsi="Arial" w:cs="Arial"/>
          <w:color w:val="000000"/>
          <w:sz w:val="24"/>
          <w:szCs w:val="24"/>
        </w:rPr>
      </w:pPr>
    </w:p>
    <w:p w:rsidR="00E3369D" w:rsidRDefault="00E3369D">
      <w:pPr>
        <w:pBdr>
          <w:top w:val="nil"/>
          <w:left w:val="nil"/>
          <w:bottom w:val="nil"/>
          <w:right w:val="nil"/>
          <w:between w:val="nil"/>
        </w:pBdr>
        <w:tabs>
          <w:tab w:val="left" w:pos="144"/>
        </w:tabs>
        <w:spacing w:after="120" w:line="240" w:lineRule="auto"/>
        <w:ind w:left="1440"/>
        <w:jc w:val="both"/>
        <w:rPr>
          <w:rFonts w:ascii="Arial" w:eastAsia="Arial" w:hAnsi="Arial" w:cs="Arial"/>
          <w:color w:val="000000"/>
          <w:sz w:val="24"/>
          <w:szCs w:val="24"/>
        </w:rPr>
      </w:pPr>
    </w:p>
    <w:p w:rsidR="00E3369D" w:rsidRDefault="005D4E75">
      <w:pPr>
        <w:numPr>
          <w:ilvl w:val="0"/>
          <w:numId w:val="4"/>
        </w:numPr>
        <w:pBdr>
          <w:top w:val="nil"/>
          <w:left w:val="nil"/>
          <w:bottom w:val="nil"/>
          <w:right w:val="nil"/>
          <w:between w:val="nil"/>
        </w:pBdr>
        <w:spacing w:after="240" w:line="240" w:lineRule="auto"/>
        <w:jc w:val="both"/>
        <w:rPr>
          <w:rFonts w:ascii="Arial" w:eastAsia="Arial" w:hAnsi="Arial" w:cs="Arial"/>
          <w:color w:val="000000"/>
        </w:rPr>
      </w:pPr>
      <w:bookmarkStart w:id="12" w:name="_heading=h.z337ya" w:colFirst="0" w:colLast="0"/>
      <w:bookmarkEnd w:id="12"/>
      <w:r>
        <w:rPr>
          <w:rFonts w:ascii="Arial" w:eastAsia="Arial" w:hAnsi="Arial" w:cs="Arial"/>
          <w:b/>
          <w:color w:val="000000"/>
          <w:sz w:val="24"/>
          <w:szCs w:val="24"/>
        </w:rPr>
        <w:t>KPI Credit Earn Back</w:t>
      </w:r>
    </w:p>
    <w:p w:rsidR="00E3369D" w:rsidRDefault="005D4E75">
      <w:pPr>
        <w:numPr>
          <w:ilvl w:val="1"/>
          <w:numId w:val="4"/>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bookmarkStart w:id="13" w:name="_heading=h.3j2qqm3" w:colFirst="0" w:colLast="0"/>
      <w:bookmarkEnd w:id="13"/>
      <w:r>
        <w:rPr>
          <w:rFonts w:ascii="Arial" w:eastAsia="Arial" w:hAnsi="Arial" w:cs="Arial"/>
          <w:color w:val="000000"/>
          <w:sz w:val="24"/>
          <w:szCs w:val="24"/>
        </w:rPr>
        <w:t>If:</w:t>
      </w:r>
    </w:p>
    <w:p w:rsidR="00E3369D" w:rsidRDefault="005D4E75">
      <w:pPr>
        <w:numPr>
          <w:ilvl w:val="2"/>
          <w:numId w:val="4"/>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bookmarkStart w:id="14" w:name="_heading=h.1y810tw" w:colFirst="0" w:colLast="0"/>
      <w:bookmarkEnd w:id="14"/>
      <w:r>
        <w:rPr>
          <w:rFonts w:ascii="Arial" w:eastAsia="Arial" w:hAnsi="Arial" w:cs="Arial"/>
          <w:color w:val="000000"/>
          <w:sz w:val="24"/>
          <w:szCs w:val="24"/>
        </w:rPr>
        <w:t>in respect of a Service Period the Supplier has been liable to pay (and has paid) a KPI Credit in relation to a KPI Performance Measure; and</w:t>
      </w:r>
    </w:p>
    <w:p w:rsidR="00E3369D" w:rsidRDefault="005D4E75">
      <w:pPr>
        <w:numPr>
          <w:ilvl w:val="2"/>
          <w:numId w:val="4"/>
        </w:numPr>
        <w:pBdr>
          <w:top w:val="nil"/>
          <w:left w:val="nil"/>
          <w:bottom w:val="nil"/>
          <w:right w:val="nil"/>
          <w:between w:val="nil"/>
        </w:pBdr>
        <w:tabs>
          <w:tab w:val="left" w:pos="144"/>
          <w:tab w:val="left" w:pos="142"/>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in the next Service Period, the Supplier is not liable to pay a KPI Credit in relation to the same KPI Performance Measure that was the subject of such KPI Credits in the previous Service Period,</w:t>
      </w:r>
    </w:p>
    <w:p w:rsidR="00E3369D" w:rsidRDefault="005D4E75">
      <w:pPr>
        <w:numPr>
          <w:ilvl w:val="1"/>
          <w:numId w:val="4"/>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be entitled to recover a proportion of su</w:t>
      </w:r>
      <w:r>
        <w:rPr>
          <w:rFonts w:ascii="Arial" w:eastAsia="Arial" w:hAnsi="Arial" w:cs="Arial"/>
          <w:color w:val="000000"/>
          <w:sz w:val="24"/>
          <w:szCs w:val="24"/>
        </w:rPr>
        <w:t>ch KPI Credit (</w:t>
      </w:r>
      <w:r>
        <w:rPr>
          <w:rFonts w:ascii="Arial" w:eastAsia="Arial" w:hAnsi="Arial" w:cs="Arial"/>
          <w:b/>
          <w:color w:val="000000"/>
          <w:sz w:val="24"/>
          <w:szCs w:val="24"/>
        </w:rPr>
        <w:t xml:space="preserve">"Earn </w:t>
      </w:r>
      <w:r>
        <w:rPr>
          <w:rFonts w:ascii="Arial" w:eastAsia="Arial" w:hAnsi="Arial" w:cs="Arial"/>
          <w:b/>
          <w:sz w:val="24"/>
          <w:szCs w:val="24"/>
        </w:rPr>
        <w:t>B</w:t>
      </w:r>
      <w:r>
        <w:rPr>
          <w:rFonts w:ascii="Arial" w:eastAsia="Arial" w:hAnsi="Arial" w:cs="Arial"/>
          <w:b/>
          <w:color w:val="000000"/>
          <w:sz w:val="24"/>
          <w:szCs w:val="24"/>
        </w:rPr>
        <w:t>ack"</w:t>
      </w:r>
      <w:r>
        <w:rPr>
          <w:rFonts w:ascii="Arial" w:eastAsia="Arial" w:hAnsi="Arial" w:cs="Arial"/>
          <w:color w:val="000000"/>
          <w:sz w:val="24"/>
          <w:szCs w:val="24"/>
        </w:rPr>
        <w:t>).</w:t>
      </w:r>
    </w:p>
    <w:p w:rsidR="00E3369D" w:rsidRDefault="005D4E75">
      <w:pPr>
        <w:numPr>
          <w:ilvl w:val="1"/>
          <w:numId w:val="4"/>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amount of the Earn </w:t>
      </w:r>
      <w:r>
        <w:rPr>
          <w:rFonts w:ascii="Arial" w:eastAsia="Arial" w:hAnsi="Arial" w:cs="Arial"/>
          <w:sz w:val="24"/>
          <w:szCs w:val="24"/>
        </w:rPr>
        <w:t>B</w:t>
      </w:r>
      <w:r>
        <w:rPr>
          <w:rFonts w:ascii="Arial" w:eastAsia="Arial" w:hAnsi="Arial" w:cs="Arial"/>
          <w:color w:val="000000"/>
          <w:sz w:val="24"/>
          <w:szCs w:val="24"/>
        </w:rPr>
        <w:t xml:space="preserve">ack shall be calculated as the product of the KPI Credit paid in the previous Service Period in relation to the relevant KPI Performance Measure and the Earn </w:t>
      </w:r>
      <w:r>
        <w:rPr>
          <w:rFonts w:ascii="Arial" w:eastAsia="Arial" w:hAnsi="Arial" w:cs="Arial"/>
          <w:sz w:val="24"/>
          <w:szCs w:val="24"/>
        </w:rPr>
        <w:t>B</w:t>
      </w:r>
      <w:r>
        <w:rPr>
          <w:rFonts w:ascii="Arial" w:eastAsia="Arial" w:hAnsi="Arial" w:cs="Arial"/>
          <w:color w:val="000000"/>
          <w:sz w:val="24"/>
          <w:szCs w:val="24"/>
        </w:rPr>
        <w:t>ack %.</w:t>
      </w:r>
    </w:p>
    <w:p w:rsidR="00E3369D" w:rsidRDefault="005D4E75">
      <w:pPr>
        <w:numPr>
          <w:ilvl w:val="1"/>
          <w:numId w:val="4"/>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shall recover any Earn </w:t>
      </w:r>
      <w:r>
        <w:rPr>
          <w:rFonts w:ascii="Arial" w:eastAsia="Arial" w:hAnsi="Arial" w:cs="Arial"/>
          <w:sz w:val="24"/>
          <w:szCs w:val="24"/>
        </w:rPr>
        <w:t>B</w:t>
      </w:r>
      <w:r>
        <w:rPr>
          <w:rFonts w:ascii="Arial" w:eastAsia="Arial" w:hAnsi="Arial" w:cs="Arial"/>
          <w:color w:val="000000"/>
          <w:sz w:val="24"/>
          <w:szCs w:val="24"/>
        </w:rPr>
        <w:t>ack to which it is entitled under this Paragraph 5 in accordance with Call-Off Schedule 5 (Call-Off Pricing).</w:t>
      </w:r>
    </w:p>
    <w:p w:rsidR="00E3369D" w:rsidRDefault="00E3369D">
      <w:pPr>
        <w:pBdr>
          <w:top w:val="nil"/>
          <w:left w:val="nil"/>
          <w:bottom w:val="nil"/>
          <w:right w:val="nil"/>
          <w:between w:val="nil"/>
        </w:pBdr>
        <w:tabs>
          <w:tab w:val="left" w:pos="144"/>
        </w:tabs>
        <w:spacing w:after="120" w:line="240" w:lineRule="auto"/>
        <w:ind w:left="1440"/>
        <w:jc w:val="both"/>
        <w:rPr>
          <w:rFonts w:ascii="Arial" w:eastAsia="Arial" w:hAnsi="Arial" w:cs="Arial"/>
          <w:color w:val="000000"/>
          <w:sz w:val="24"/>
          <w:szCs w:val="24"/>
        </w:rPr>
      </w:pPr>
    </w:p>
    <w:p w:rsidR="00E3369D" w:rsidRDefault="005D4E75">
      <w:pPr>
        <w:numPr>
          <w:ilvl w:val="0"/>
          <w:numId w:val="4"/>
        </w:numPr>
        <w:pBdr>
          <w:top w:val="nil"/>
          <w:left w:val="nil"/>
          <w:bottom w:val="nil"/>
          <w:right w:val="nil"/>
          <w:between w:val="nil"/>
        </w:pBdr>
        <w:spacing w:after="240" w:line="240" w:lineRule="auto"/>
        <w:jc w:val="both"/>
        <w:rPr>
          <w:rFonts w:ascii="Arial" w:eastAsia="Arial" w:hAnsi="Arial" w:cs="Arial"/>
          <w:color w:val="000000"/>
        </w:rPr>
      </w:pPr>
      <w:r>
        <w:rPr>
          <w:rFonts w:ascii="Arial" w:eastAsia="Arial" w:hAnsi="Arial" w:cs="Arial"/>
          <w:b/>
          <w:color w:val="000000"/>
          <w:sz w:val="24"/>
          <w:szCs w:val="24"/>
        </w:rPr>
        <w:t>Persistent KPI Failure</w:t>
      </w:r>
    </w:p>
    <w:p w:rsidR="00E3369D" w:rsidRDefault="005D4E75">
      <w:pPr>
        <w:numPr>
          <w:ilvl w:val="1"/>
          <w:numId w:val="4"/>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 Persistent KPI Performance Measure Failure shall arise when one or both of the following takes place:</w:t>
      </w:r>
    </w:p>
    <w:p w:rsidR="00E3369D" w:rsidRDefault="005D4E75">
      <w:pPr>
        <w:numPr>
          <w:ilvl w:val="2"/>
          <w:numId w:val="4"/>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bookmarkStart w:id="15" w:name="_heading=h.3znysh7" w:colFirst="0" w:colLast="0"/>
      <w:bookmarkEnd w:id="15"/>
      <w:r>
        <w:rPr>
          <w:rFonts w:ascii="Arial" w:eastAsia="Arial" w:hAnsi="Arial" w:cs="Arial"/>
          <w:color w:val="000000"/>
          <w:sz w:val="24"/>
          <w:szCs w:val="24"/>
        </w:rPr>
        <w:t>a KPI Performance Measure Failure in respect of any one or more of the KPI Performance Measures occurs in five (5) consecutive Service Periods;</w:t>
      </w:r>
    </w:p>
    <w:p w:rsidR="00E3369D" w:rsidRDefault="005D4E75">
      <w:pPr>
        <w:numPr>
          <w:ilvl w:val="2"/>
          <w:numId w:val="4"/>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a KPI Performance Measure Failure in respect of any one or more of the KPI Performance Measures occurs in any se</w:t>
      </w:r>
      <w:r>
        <w:rPr>
          <w:rFonts w:ascii="Arial" w:eastAsia="Arial" w:hAnsi="Arial" w:cs="Arial"/>
          <w:color w:val="000000"/>
          <w:sz w:val="24"/>
          <w:szCs w:val="24"/>
        </w:rPr>
        <w:t>ven (7) Service Periods in the immediately preceding twelve (12) Service Periods.</w:t>
      </w:r>
    </w:p>
    <w:p w:rsidR="00E3369D" w:rsidRDefault="005D4E75">
      <w:pPr>
        <w:numPr>
          <w:ilvl w:val="1"/>
          <w:numId w:val="4"/>
        </w:numPr>
        <w:pBdr>
          <w:top w:val="nil"/>
          <w:left w:val="nil"/>
          <w:bottom w:val="nil"/>
          <w:right w:val="nil"/>
          <w:between w:val="nil"/>
        </w:pBdr>
        <w:tabs>
          <w:tab w:val="left" w:pos="144"/>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A Persistent KPI Failure shall constitute a material Default of this Contract by the Supplier.</w:t>
      </w:r>
    </w:p>
    <w:p w:rsidR="00E3369D" w:rsidRDefault="00E3369D">
      <w:pPr>
        <w:pBdr>
          <w:top w:val="nil"/>
          <w:left w:val="nil"/>
          <w:bottom w:val="nil"/>
          <w:right w:val="nil"/>
          <w:between w:val="nil"/>
        </w:pBdr>
        <w:spacing w:before="120" w:after="120" w:line="240" w:lineRule="auto"/>
        <w:rPr>
          <w:rFonts w:ascii="Arial" w:eastAsia="Arial" w:hAnsi="Arial" w:cs="Arial"/>
          <w:b/>
          <w:color w:val="000000"/>
          <w:sz w:val="36"/>
          <w:szCs w:val="36"/>
        </w:rPr>
      </w:pPr>
    </w:p>
    <w:p w:rsidR="00E3369D" w:rsidRDefault="00E3369D">
      <w:pPr>
        <w:pBdr>
          <w:top w:val="nil"/>
          <w:left w:val="nil"/>
          <w:bottom w:val="nil"/>
          <w:right w:val="nil"/>
          <w:between w:val="nil"/>
        </w:pBdr>
        <w:spacing w:before="120" w:after="120" w:line="240" w:lineRule="auto"/>
        <w:rPr>
          <w:rFonts w:ascii="Arial" w:eastAsia="Arial" w:hAnsi="Arial" w:cs="Arial"/>
          <w:b/>
          <w:color w:val="000000"/>
          <w:sz w:val="36"/>
          <w:szCs w:val="36"/>
        </w:rPr>
      </w:pPr>
    </w:p>
    <w:p w:rsidR="00E3369D" w:rsidRDefault="00E3369D">
      <w:pPr>
        <w:pBdr>
          <w:top w:val="nil"/>
          <w:left w:val="nil"/>
          <w:bottom w:val="nil"/>
          <w:right w:val="nil"/>
          <w:between w:val="nil"/>
        </w:pBdr>
        <w:spacing w:before="120" w:after="120" w:line="240" w:lineRule="auto"/>
        <w:rPr>
          <w:rFonts w:ascii="Arial" w:eastAsia="Arial" w:hAnsi="Arial" w:cs="Arial"/>
          <w:b/>
          <w:color w:val="000000"/>
          <w:sz w:val="36"/>
          <w:szCs w:val="36"/>
        </w:rPr>
      </w:pPr>
    </w:p>
    <w:p w:rsidR="00E3369D" w:rsidRDefault="00E3369D">
      <w:pPr>
        <w:pBdr>
          <w:top w:val="nil"/>
          <w:left w:val="nil"/>
          <w:bottom w:val="nil"/>
          <w:right w:val="nil"/>
          <w:between w:val="nil"/>
        </w:pBdr>
        <w:spacing w:before="120" w:after="120" w:line="240" w:lineRule="auto"/>
        <w:rPr>
          <w:rFonts w:ascii="Arial" w:eastAsia="Arial" w:hAnsi="Arial" w:cs="Arial"/>
          <w:b/>
          <w:color w:val="000000"/>
          <w:sz w:val="36"/>
          <w:szCs w:val="36"/>
        </w:rPr>
      </w:pPr>
      <w:bookmarkStart w:id="16" w:name="_heading=h.tyjcwt" w:colFirst="0" w:colLast="0"/>
      <w:bookmarkEnd w:id="16"/>
    </w:p>
    <w:p w:rsidR="00E3369D" w:rsidRDefault="005D4E75">
      <w:pPr>
        <w:pBdr>
          <w:top w:val="nil"/>
          <w:left w:val="nil"/>
          <w:bottom w:val="nil"/>
          <w:right w:val="nil"/>
          <w:between w:val="nil"/>
        </w:pBdr>
        <w:spacing w:before="120" w:after="120" w:line="240" w:lineRule="auto"/>
        <w:rPr>
          <w:rFonts w:ascii="Arial" w:eastAsia="Arial" w:hAnsi="Arial" w:cs="Arial"/>
        </w:rPr>
      </w:pPr>
      <w:r>
        <w:rPr>
          <w:rFonts w:ascii="Arial" w:eastAsia="Arial" w:hAnsi="Arial" w:cs="Arial"/>
          <w:b/>
          <w:color w:val="000000"/>
          <w:sz w:val="36"/>
          <w:szCs w:val="36"/>
        </w:rPr>
        <w:t xml:space="preserve">Annex A to Part A – </w:t>
      </w:r>
      <w:proofErr w:type="spellStart"/>
      <w:r>
        <w:rPr>
          <w:rFonts w:ascii="Arial" w:eastAsia="Arial" w:hAnsi="Arial" w:cs="Arial"/>
          <w:b/>
          <w:color w:val="000000"/>
          <w:sz w:val="36"/>
          <w:szCs w:val="36"/>
        </w:rPr>
        <w:t>KPI_Paymech</w:t>
      </w:r>
      <w:proofErr w:type="spellEnd"/>
      <w:r>
        <w:rPr>
          <w:rFonts w:ascii="Arial" w:eastAsia="Arial" w:hAnsi="Arial" w:cs="Arial"/>
          <w:b/>
          <w:color w:val="000000"/>
          <w:sz w:val="36"/>
          <w:szCs w:val="36"/>
        </w:rPr>
        <w:t xml:space="preserve"> Model</w:t>
      </w:r>
    </w:p>
    <w:p w:rsidR="00E3369D" w:rsidRPr="00E60818" w:rsidRDefault="005D4E75">
      <w:pPr>
        <w:pBdr>
          <w:top w:val="nil"/>
          <w:left w:val="nil"/>
          <w:bottom w:val="nil"/>
          <w:right w:val="nil"/>
          <w:between w:val="nil"/>
        </w:pBdr>
        <w:spacing w:before="120" w:after="120" w:line="240" w:lineRule="auto"/>
        <w:rPr>
          <w:rFonts w:ascii="Arial" w:eastAsia="Arial" w:hAnsi="Arial" w:cs="Arial"/>
        </w:rPr>
      </w:pPr>
      <w:r w:rsidRPr="00E60818">
        <w:rPr>
          <w:rFonts w:ascii="Arial" w:eastAsia="Arial" w:hAnsi="Arial" w:cs="Arial"/>
        </w:rPr>
        <w:t xml:space="preserve"> </w:t>
      </w:r>
      <w:r w:rsidR="00E60818" w:rsidRPr="00E60818">
        <w:rPr>
          <w:rFonts w:ascii="Arial" w:eastAsia="Arial" w:hAnsi="Arial" w:cs="Arial"/>
        </w:rPr>
        <w:object w:dxaOrig="1508" w:dyaOrig="9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5pt;height:49pt" o:ole="">
            <v:imagedata r:id="rId8" o:title=""/>
          </v:shape>
          <o:OLEObject Type="Embed" ProgID="Excel.Sheet.12" ShapeID="_x0000_i1025" DrawAspect="Icon" ObjectID="_1752043789" r:id="rId9"/>
        </w:object>
      </w:r>
      <w:bookmarkStart w:id="17" w:name="_GoBack"/>
      <w:bookmarkEnd w:id="17"/>
    </w:p>
    <w:p w:rsidR="00E3369D" w:rsidRDefault="00E3369D">
      <w:pPr>
        <w:pBdr>
          <w:top w:val="nil"/>
          <w:left w:val="nil"/>
          <w:bottom w:val="nil"/>
          <w:right w:val="nil"/>
          <w:between w:val="nil"/>
        </w:pBdr>
        <w:spacing w:before="120" w:after="120" w:line="240" w:lineRule="auto"/>
        <w:rPr>
          <w:rFonts w:ascii="Arial" w:eastAsia="Arial" w:hAnsi="Arial" w:cs="Arial"/>
        </w:rPr>
      </w:pPr>
      <w:bookmarkStart w:id="18" w:name="_heading=h.3dy6vkm" w:colFirst="0" w:colLast="0"/>
      <w:bookmarkEnd w:id="18"/>
    </w:p>
    <w:p w:rsidR="00E3369D" w:rsidRDefault="005D4E75">
      <w:pPr>
        <w:keepNext/>
        <w:numPr>
          <w:ilvl w:val="0"/>
          <w:numId w:val="2"/>
        </w:numPr>
        <w:spacing w:after="240" w:line="240" w:lineRule="auto"/>
        <w:ind w:left="0" w:firstLine="0"/>
        <w:rPr>
          <w:rFonts w:ascii="Arial Bold" w:eastAsia="Arial Bold" w:hAnsi="Arial Bold" w:cs="Arial Bold"/>
          <w:b/>
          <w:sz w:val="24"/>
          <w:szCs w:val="24"/>
        </w:rPr>
      </w:pPr>
      <w:bookmarkStart w:id="19" w:name="_heading=h.4d34og8" w:colFirst="0" w:colLast="0"/>
      <w:bookmarkEnd w:id="19"/>
      <w:r>
        <w:rPr>
          <w:rFonts w:ascii="Arial" w:eastAsia="Arial" w:hAnsi="Arial" w:cs="Arial"/>
        </w:rPr>
        <w:t xml:space="preserve">     </w:t>
      </w:r>
      <w:r>
        <w:rPr>
          <w:rFonts w:ascii="Arial Bold" w:eastAsia="Arial Bold" w:hAnsi="Arial Bold" w:cs="Arial Bold"/>
          <w:b/>
          <w:sz w:val="36"/>
          <w:szCs w:val="36"/>
        </w:rPr>
        <w:t>Annex B to Part A: KPI Performance Measures and KPI Credits Table</w:t>
      </w:r>
    </w:p>
    <w:p w:rsidR="00E3369D" w:rsidRDefault="005D4E75">
      <w:pPr>
        <w:pBdr>
          <w:top w:val="nil"/>
          <w:left w:val="nil"/>
          <w:bottom w:val="nil"/>
          <w:right w:val="nil"/>
          <w:between w:val="nil"/>
        </w:pBdr>
        <w:spacing w:before="100"/>
        <w:rPr>
          <w:b/>
          <w:i/>
          <w:color w:val="000000"/>
        </w:rPr>
      </w:pPr>
      <w:r>
        <w:rPr>
          <w:b/>
          <w:i/>
          <w:highlight w:val="yellow"/>
        </w:rPr>
        <w:t xml:space="preserve">[Buyer Guidance Note: The following table and calculation are included by way of example only. Procurement-specific performance Indicators (or KPIs) and formulae, including KPIs relating to Social Value, should be incorporated. In line with the </w:t>
      </w:r>
      <w:hyperlink r:id="rId10">
        <w:r>
          <w:rPr>
            <w:b/>
            <w:i/>
            <w:color w:val="0000FF"/>
            <w:highlight w:val="yellow"/>
            <w:u w:val="single"/>
          </w:rPr>
          <w:t>Sourcing Playbook</w:t>
        </w:r>
      </w:hyperlink>
      <w:r>
        <w:rPr>
          <w:b/>
          <w:i/>
          <w:highlight w:val="yellow"/>
        </w:rPr>
        <w:t>, it is HMG’s intention to publish the top KPIs for the Government’s most important contracts. Where this publication requirement applies to this Con</w:t>
      </w:r>
      <w:r>
        <w:rPr>
          <w:b/>
          <w:i/>
          <w:highlight w:val="yellow"/>
        </w:rPr>
        <w:t>tract, the Buyer must select at least three KPIs which shall be publishable and must also select the single most important Social Value KPI, which shall also be publishable (four KPIs in total). Buyers can indicate which are publishable in the table below.</w:t>
      </w:r>
    </w:p>
    <w:p w:rsidR="00E3369D" w:rsidRDefault="00E3369D">
      <w:pPr>
        <w:ind w:left="709"/>
        <w:rPr>
          <w:rFonts w:ascii="Arial" w:eastAsia="Arial" w:hAnsi="Arial" w:cs="Arial"/>
          <w:sz w:val="24"/>
          <w:szCs w:val="24"/>
        </w:rPr>
      </w:pPr>
    </w:p>
    <w:tbl>
      <w:tblPr>
        <w:tblStyle w:val="afff1"/>
        <w:tblW w:w="106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13"/>
        <w:gridCol w:w="1571"/>
        <w:gridCol w:w="1701"/>
        <w:gridCol w:w="1418"/>
        <w:gridCol w:w="2102"/>
        <w:gridCol w:w="2102"/>
      </w:tblGrid>
      <w:tr w:rsidR="00E3369D">
        <w:trPr>
          <w:trHeight w:val="1213"/>
          <w:tblHeader/>
          <w:jc w:val="center"/>
        </w:trPr>
        <w:tc>
          <w:tcPr>
            <w:tcW w:w="6403" w:type="dxa"/>
            <w:gridSpan w:val="4"/>
            <w:shd w:val="clear" w:color="auto" w:fill="D9D9D9"/>
          </w:tcPr>
          <w:p w:rsidR="00E3369D" w:rsidRDefault="005D4E75">
            <w:pPr>
              <w:ind w:left="95"/>
              <w:rPr>
                <w:rFonts w:ascii="Arial" w:eastAsia="Arial" w:hAnsi="Arial" w:cs="Arial"/>
                <w:sz w:val="24"/>
                <w:szCs w:val="24"/>
              </w:rPr>
            </w:pPr>
            <w:r>
              <w:rPr>
                <w:rFonts w:ascii="Arial" w:eastAsia="Arial" w:hAnsi="Arial" w:cs="Arial"/>
                <w:sz w:val="24"/>
                <w:szCs w:val="24"/>
              </w:rPr>
              <w:t>KPIs</w:t>
            </w:r>
          </w:p>
        </w:tc>
        <w:tc>
          <w:tcPr>
            <w:tcW w:w="2102" w:type="dxa"/>
            <w:vMerge w:val="restart"/>
            <w:shd w:val="clear" w:color="auto" w:fill="D9D9D9"/>
            <w:vAlign w:val="center"/>
          </w:tcPr>
          <w:p w:rsidR="00E3369D" w:rsidRDefault="005D4E75">
            <w:pPr>
              <w:ind w:left="95"/>
              <w:rPr>
                <w:rFonts w:ascii="Arial" w:eastAsia="Arial" w:hAnsi="Arial" w:cs="Arial"/>
                <w:sz w:val="24"/>
                <w:szCs w:val="24"/>
              </w:rPr>
            </w:pPr>
            <w:r>
              <w:rPr>
                <w:rFonts w:ascii="Arial" w:eastAsia="Arial" w:hAnsi="Arial" w:cs="Arial"/>
                <w:sz w:val="24"/>
                <w:szCs w:val="24"/>
              </w:rPr>
              <w:t>KPI for each Service Period</w:t>
            </w:r>
          </w:p>
          <w:p w:rsidR="00E3369D" w:rsidRDefault="00E3369D">
            <w:pPr>
              <w:ind w:left="95"/>
              <w:rPr>
                <w:rFonts w:ascii="Arial" w:eastAsia="Arial" w:hAnsi="Arial" w:cs="Arial"/>
                <w:sz w:val="24"/>
                <w:szCs w:val="24"/>
              </w:rPr>
            </w:pPr>
          </w:p>
        </w:tc>
        <w:tc>
          <w:tcPr>
            <w:tcW w:w="2102" w:type="dxa"/>
            <w:shd w:val="clear" w:color="auto" w:fill="D9D9D9"/>
          </w:tcPr>
          <w:p w:rsidR="00E3369D" w:rsidRDefault="00E3369D">
            <w:pPr>
              <w:ind w:left="95"/>
              <w:rPr>
                <w:rFonts w:ascii="Arial" w:eastAsia="Arial" w:hAnsi="Arial" w:cs="Arial"/>
                <w:sz w:val="24"/>
                <w:szCs w:val="24"/>
              </w:rPr>
            </w:pPr>
          </w:p>
        </w:tc>
      </w:tr>
      <w:tr w:rsidR="00E3369D">
        <w:trPr>
          <w:trHeight w:val="1213"/>
          <w:tblHeader/>
          <w:jc w:val="center"/>
        </w:trPr>
        <w:tc>
          <w:tcPr>
            <w:tcW w:w="1713" w:type="dxa"/>
            <w:shd w:val="clear" w:color="auto" w:fill="D9D9D9"/>
            <w:vAlign w:val="center"/>
          </w:tcPr>
          <w:p w:rsidR="00E3369D" w:rsidRDefault="005D4E75">
            <w:pPr>
              <w:ind w:left="61"/>
              <w:rPr>
                <w:rFonts w:ascii="Arial" w:eastAsia="Arial" w:hAnsi="Arial" w:cs="Arial"/>
                <w:sz w:val="24"/>
                <w:szCs w:val="24"/>
              </w:rPr>
            </w:pPr>
            <w:r>
              <w:rPr>
                <w:rFonts w:ascii="Arial" w:eastAsia="Arial" w:hAnsi="Arial" w:cs="Arial"/>
                <w:sz w:val="24"/>
                <w:szCs w:val="24"/>
              </w:rPr>
              <w:t>KPI Criterion</w:t>
            </w:r>
          </w:p>
        </w:tc>
        <w:tc>
          <w:tcPr>
            <w:tcW w:w="1571" w:type="dxa"/>
            <w:shd w:val="clear" w:color="auto" w:fill="D9D9D9"/>
            <w:vAlign w:val="center"/>
          </w:tcPr>
          <w:p w:rsidR="00E3369D" w:rsidRDefault="005D4E75">
            <w:pPr>
              <w:ind w:left="95"/>
              <w:rPr>
                <w:rFonts w:ascii="Arial" w:eastAsia="Arial" w:hAnsi="Arial" w:cs="Arial"/>
                <w:sz w:val="24"/>
                <w:szCs w:val="24"/>
              </w:rPr>
            </w:pPr>
            <w:r>
              <w:rPr>
                <w:rFonts w:ascii="Arial" w:eastAsia="Arial" w:hAnsi="Arial" w:cs="Arial"/>
                <w:sz w:val="24"/>
                <w:szCs w:val="24"/>
              </w:rPr>
              <w:t>Key Indicator</w:t>
            </w:r>
          </w:p>
        </w:tc>
        <w:tc>
          <w:tcPr>
            <w:tcW w:w="1701" w:type="dxa"/>
            <w:shd w:val="clear" w:color="auto" w:fill="D9D9D9"/>
            <w:vAlign w:val="center"/>
          </w:tcPr>
          <w:p w:rsidR="00E3369D" w:rsidRDefault="005D4E75">
            <w:pPr>
              <w:rPr>
                <w:rFonts w:ascii="Arial" w:eastAsia="Arial" w:hAnsi="Arial" w:cs="Arial"/>
                <w:sz w:val="24"/>
                <w:szCs w:val="24"/>
              </w:rPr>
            </w:pPr>
            <w:r>
              <w:rPr>
                <w:rFonts w:ascii="Arial" w:eastAsia="Arial" w:hAnsi="Arial" w:cs="Arial"/>
                <w:sz w:val="24"/>
                <w:szCs w:val="24"/>
              </w:rPr>
              <w:t>KPI Performance Measure</w:t>
            </w:r>
          </w:p>
        </w:tc>
        <w:tc>
          <w:tcPr>
            <w:tcW w:w="1418" w:type="dxa"/>
            <w:shd w:val="clear" w:color="auto" w:fill="D9D9D9"/>
          </w:tcPr>
          <w:p w:rsidR="00E3369D" w:rsidRDefault="005D4E75">
            <w:pPr>
              <w:ind w:left="95"/>
              <w:rPr>
                <w:rFonts w:ascii="Arial" w:eastAsia="Arial" w:hAnsi="Arial" w:cs="Arial"/>
                <w:sz w:val="24"/>
                <w:szCs w:val="24"/>
              </w:rPr>
            </w:pPr>
            <w:r>
              <w:rPr>
                <w:rFonts w:ascii="Arial" w:eastAsia="Arial" w:hAnsi="Arial" w:cs="Arial"/>
                <w:sz w:val="24"/>
                <w:szCs w:val="24"/>
              </w:rPr>
              <w:t>KPI Threshold</w:t>
            </w:r>
          </w:p>
        </w:tc>
        <w:tc>
          <w:tcPr>
            <w:tcW w:w="2102" w:type="dxa"/>
            <w:vMerge/>
            <w:shd w:val="clear" w:color="auto" w:fill="D9D9D9"/>
            <w:vAlign w:val="center"/>
          </w:tcPr>
          <w:p w:rsidR="00E3369D" w:rsidRDefault="00E3369D">
            <w:pPr>
              <w:widowControl w:val="0"/>
              <w:pBdr>
                <w:top w:val="nil"/>
                <w:left w:val="nil"/>
                <w:bottom w:val="nil"/>
                <w:right w:val="nil"/>
                <w:between w:val="nil"/>
              </w:pBdr>
              <w:spacing w:after="0"/>
              <w:rPr>
                <w:rFonts w:ascii="Arial" w:eastAsia="Arial" w:hAnsi="Arial" w:cs="Arial"/>
                <w:sz w:val="24"/>
                <w:szCs w:val="24"/>
              </w:rPr>
            </w:pPr>
          </w:p>
        </w:tc>
        <w:tc>
          <w:tcPr>
            <w:tcW w:w="2102" w:type="dxa"/>
            <w:shd w:val="clear" w:color="auto" w:fill="D9D9D9"/>
          </w:tcPr>
          <w:p w:rsidR="00E3369D" w:rsidRDefault="005D4E75">
            <w:pPr>
              <w:ind w:left="95"/>
              <w:rPr>
                <w:rFonts w:ascii="Arial" w:eastAsia="Arial" w:hAnsi="Arial" w:cs="Arial"/>
                <w:sz w:val="24"/>
                <w:szCs w:val="24"/>
              </w:rPr>
            </w:pPr>
            <w:r>
              <w:rPr>
                <w:rFonts w:ascii="Arial" w:eastAsia="Arial" w:hAnsi="Arial" w:cs="Arial"/>
                <w:sz w:val="24"/>
                <w:szCs w:val="24"/>
              </w:rPr>
              <w:t xml:space="preserve">Publishable? </w:t>
            </w:r>
          </w:p>
        </w:tc>
      </w:tr>
      <w:tr w:rsidR="00E3369D">
        <w:trPr>
          <w:trHeight w:val="1474"/>
          <w:jc w:val="center"/>
        </w:trPr>
        <w:tc>
          <w:tcPr>
            <w:tcW w:w="1713" w:type="dxa"/>
          </w:tcPr>
          <w:p w:rsidR="00E3369D" w:rsidRDefault="005D4E75">
            <w:pPr>
              <w:spacing w:after="120"/>
              <w:ind w:left="61"/>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Accurate and timely billing of Buyer</w:t>
            </w:r>
            <w:r>
              <w:rPr>
                <w:rFonts w:ascii="Arial" w:eastAsia="Arial" w:hAnsi="Arial" w:cs="Arial"/>
                <w:sz w:val="24"/>
                <w:szCs w:val="24"/>
              </w:rPr>
              <w:t>]</w:t>
            </w:r>
          </w:p>
          <w:p w:rsidR="00E3369D" w:rsidRDefault="00E3369D">
            <w:pPr>
              <w:spacing w:after="120"/>
              <w:ind w:left="61"/>
              <w:rPr>
                <w:rFonts w:ascii="Arial" w:eastAsia="Arial" w:hAnsi="Arial" w:cs="Arial"/>
                <w:sz w:val="24"/>
                <w:szCs w:val="24"/>
              </w:rPr>
            </w:pPr>
          </w:p>
        </w:tc>
        <w:tc>
          <w:tcPr>
            <w:tcW w:w="1571" w:type="dxa"/>
          </w:tcPr>
          <w:p w:rsidR="00E3369D" w:rsidRDefault="005D4E75">
            <w:pPr>
              <w:spacing w:after="120"/>
              <w:ind w:left="95"/>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Accuracy /Timelines</w:t>
            </w:r>
            <w:r>
              <w:rPr>
                <w:rFonts w:ascii="Arial" w:eastAsia="Arial" w:hAnsi="Arial" w:cs="Arial"/>
                <w:sz w:val="24"/>
                <w:szCs w:val="24"/>
              </w:rPr>
              <w:t>s]</w:t>
            </w:r>
          </w:p>
          <w:p w:rsidR="00E3369D" w:rsidRDefault="00E3369D">
            <w:pPr>
              <w:spacing w:after="120"/>
              <w:ind w:left="95"/>
              <w:rPr>
                <w:rFonts w:ascii="Arial" w:eastAsia="Arial" w:hAnsi="Arial" w:cs="Arial"/>
                <w:sz w:val="24"/>
                <w:szCs w:val="24"/>
              </w:rPr>
            </w:pPr>
          </w:p>
        </w:tc>
        <w:tc>
          <w:tcPr>
            <w:tcW w:w="1701" w:type="dxa"/>
          </w:tcPr>
          <w:p w:rsidR="00E3369D" w:rsidRDefault="005D4E75">
            <w:pPr>
              <w:spacing w:after="120"/>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at least 98% at all times</w:t>
            </w:r>
            <w:r>
              <w:rPr>
                <w:rFonts w:ascii="Arial" w:eastAsia="Arial" w:hAnsi="Arial" w:cs="Arial"/>
                <w:sz w:val="24"/>
                <w:szCs w:val="24"/>
              </w:rPr>
              <w:t>]</w:t>
            </w:r>
          </w:p>
          <w:p w:rsidR="00E3369D" w:rsidRDefault="00E3369D">
            <w:pPr>
              <w:spacing w:after="120"/>
              <w:rPr>
                <w:rFonts w:ascii="Arial" w:eastAsia="Arial" w:hAnsi="Arial" w:cs="Arial"/>
                <w:sz w:val="24"/>
                <w:szCs w:val="24"/>
              </w:rPr>
            </w:pPr>
          </w:p>
        </w:tc>
        <w:tc>
          <w:tcPr>
            <w:tcW w:w="1418" w:type="dxa"/>
          </w:tcPr>
          <w:p w:rsidR="00E3369D" w:rsidRDefault="005D4E75">
            <w:pPr>
              <w:spacing w:after="120"/>
              <w:ind w:left="95"/>
              <w:rPr>
                <w:rFonts w:ascii="Arial" w:eastAsia="Arial" w:hAnsi="Arial" w:cs="Arial"/>
                <w:sz w:val="24"/>
                <w:szCs w:val="24"/>
              </w:rPr>
            </w:pPr>
            <w:r>
              <w:rPr>
                <w:rFonts w:ascii="Arial" w:eastAsia="Arial" w:hAnsi="Arial" w:cs="Arial"/>
                <w:highlight w:val="yellow"/>
              </w:rPr>
              <w:t>[  ]</w:t>
            </w:r>
          </w:p>
        </w:tc>
        <w:tc>
          <w:tcPr>
            <w:tcW w:w="2102" w:type="dxa"/>
          </w:tcPr>
          <w:p w:rsidR="00E3369D" w:rsidRDefault="005D4E75">
            <w:pPr>
              <w:spacing w:after="120"/>
              <w:ind w:left="95"/>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 xml:space="preserve">0.5% </w:t>
            </w:r>
            <w:proofErr w:type="spellStart"/>
            <w:r>
              <w:rPr>
                <w:rFonts w:ascii="Arial" w:eastAsia="Arial" w:hAnsi="Arial" w:cs="Arial"/>
                <w:sz w:val="24"/>
                <w:szCs w:val="24"/>
                <w:highlight w:val="yellow"/>
              </w:rPr>
              <w:t>KPICredit</w:t>
            </w:r>
            <w:proofErr w:type="spellEnd"/>
            <w:r>
              <w:rPr>
                <w:rFonts w:ascii="Arial" w:eastAsia="Arial" w:hAnsi="Arial" w:cs="Arial"/>
                <w:sz w:val="24"/>
                <w:szCs w:val="24"/>
                <w:highlight w:val="yellow"/>
              </w:rPr>
              <w:t xml:space="preserve"> gained for each percentage under the specified Service Level </w:t>
            </w:r>
            <w:r>
              <w:rPr>
                <w:rFonts w:ascii="Arial" w:eastAsia="Arial" w:hAnsi="Arial" w:cs="Arial"/>
                <w:sz w:val="24"/>
                <w:szCs w:val="24"/>
                <w:highlight w:val="yellow"/>
              </w:rPr>
              <w:lastRenderedPageBreak/>
              <w:t>Performance Measure</w:t>
            </w:r>
            <w:r>
              <w:rPr>
                <w:rFonts w:ascii="Arial" w:eastAsia="Arial" w:hAnsi="Arial" w:cs="Arial"/>
                <w:sz w:val="24"/>
                <w:szCs w:val="24"/>
              </w:rPr>
              <w:t>]</w:t>
            </w:r>
          </w:p>
        </w:tc>
        <w:tc>
          <w:tcPr>
            <w:tcW w:w="2102" w:type="dxa"/>
          </w:tcPr>
          <w:p w:rsidR="00E3369D" w:rsidRDefault="005D4E75">
            <w:pPr>
              <w:spacing w:after="120"/>
              <w:ind w:left="95"/>
              <w:rPr>
                <w:rFonts w:ascii="Arial" w:eastAsia="Arial" w:hAnsi="Arial" w:cs="Arial"/>
                <w:sz w:val="24"/>
                <w:szCs w:val="24"/>
              </w:rPr>
            </w:pPr>
            <w:r>
              <w:rPr>
                <w:rFonts w:ascii="Arial" w:eastAsia="Arial" w:hAnsi="Arial" w:cs="Arial"/>
              </w:rPr>
              <w:lastRenderedPageBreak/>
              <w:t>[Yes/No]</w:t>
            </w:r>
          </w:p>
        </w:tc>
      </w:tr>
      <w:tr w:rsidR="00E3369D">
        <w:trPr>
          <w:trHeight w:val="1474"/>
          <w:jc w:val="center"/>
        </w:trPr>
        <w:tc>
          <w:tcPr>
            <w:tcW w:w="1713" w:type="dxa"/>
          </w:tcPr>
          <w:p w:rsidR="00E3369D" w:rsidRDefault="005D4E75">
            <w:pPr>
              <w:spacing w:after="120"/>
              <w:ind w:left="61"/>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Access to Buyer support</w:t>
            </w:r>
            <w:r>
              <w:rPr>
                <w:rFonts w:ascii="Arial" w:eastAsia="Arial" w:hAnsi="Arial" w:cs="Arial"/>
                <w:sz w:val="24"/>
                <w:szCs w:val="24"/>
              </w:rPr>
              <w:t>]</w:t>
            </w:r>
          </w:p>
          <w:p w:rsidR="00E3369D" w:rsidRDefault="00E3369D">
            <w:pPr>
              <w:spacing w:after="120"/>
              <w:ind w:left="61"/>
              <w:rPr>
                <w:rFonts w:ascii="Arial" w:eastAsia="Arial" w:hAnsi="Arial" w:cs="Arial"/>
                <w:sz w:val="24"/>
                <w:szCs w:val="24"/>
              </w:rPr>
            </w:pPr>
          </w:p>
        </w:tc>
        <w:tc>
          <w:tcPr>
            <w:tcW w:w="1571" w:type="dxa"/>
          </w:tcPr>
          <w:p w:rsidR="00E3369D" w:rsidRDefault="005D4E75">
            <w:pPr>
              <w:spacing w:after="120"/>
              <w:ind w:left="95"/>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Availability</w:t>
            </w:r>
            <w:r>
              <w:rPr>
                <w:rFonts w:ascii="Arial" w:eastAsia="Arial" w:hAnsi="Arial" w:cs="Arial"/>
                <w:sz w:val="24"/>
                <w:szCs w:val="24"/>
              </w:rPr>
              <w:t>]</w:t>
            </w:r>
          </w:p>
          <w:p w:rsidR="00E3369D" w:rsidRDefault="00E3369D">
            <w:pPr>
              <w:spacing w:after="120"/>
              <w:ind w:left="95"/>
              <w:rPr>
                <w:rFonts w:ascii="Arial" w:eastAsia="Arial" w:hAnsi="Arial" w:cs="Arial"/>
                <w:sz w:val="24"/>
                <w:szCs w:val="24"/>
              </w:rPr>
            </w:pPr>
          </w:p>
          <w:p w:rsidR="00E3369D" w:rsidRDefault="00E3369D">
            <w:pPr>
              <w:spacing w:after="120"/>
              <w:ind w:left="95"/>
              <w:rPr>
                <w:rFonts w:ascii="Arial" w:eastAsia="Arial" w:hAnsi="Arial" w:cs="Arial"/>
                <w:sz w:val="24"/>
                <w:szCs w:val="24"/>
              </w:rPr>
            </w:pPr>
          </w:p>
        </w:tc>
        <w:tc>
          <w:tcPr>
            <w:tcW w:w="1701" w:type="dxa"/>
          </w:tcPr>
          <w:p w:rsidR="00E3369D" w:rsidRDefault="005D4E75">
            <w:pPr>
              <w:spacing w:after="120"/>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at least 98% at all times</w:t>
            </w:r>
            <w:r>
              <w:rPr>
                <w:rFonts w:ascii="Arial" w:eastAsia="Arial" w:hAnsi="Arial" w:cs="Arial"/>
                <w:sz w:val="24"/>
                <w:szCs w:val="24"/>
              </w:rPr>
              <w:t>]</w:t>
            </w:r>
          </w:p>
          <w:p w:rsidR="00E3369D" w:rsidRDefault="00E3369D">
            <w:pPr>
              <w:spacing w:after="120"/>
              <w:rPr>
                <w:rFonts w:ascii="Arial" w:eastAsia="Arial" w:hAnsi="Arial" w:cs="Arial"/>
                <w:sz w:val="24"/>
                <w:szCs w:val="24"/>
              </w:rPr>
            </w:pPr>
          </w:p>
        </w:tc>
        <w:tc>
          <w:tcPr>
            <w:tcW w:w="1418" w:type="dxa"/>
          </w:tcPr>
          <w:p w:rsidR="00E3369D" w:rsidRDefault="005D4E75">
            <w:pPr>
              <w:spacing w:after="120"/>
              <w:ind w:left="95"/>
              <w:rPr>
                <w:rFonts w:ascii="Arial" w:eastAsia="Arial" w:hAnsi="Arial" w:cs="Arial"/>
                <w:sz w:val="24"/>
                <w:szCs w:val="24"/>
              </w:rPr>
            </w:pPr>
            <w:r>
              <w:rPr>
                <w:rFonts w:ascii="Arial" w:eastAsia="Arial" w:hAnsi="Arial" w:cs="Arial"/>
                <w:highlight w:val="yellow"/>
              </w:rPr>
              <w:t>[  ]</w:t>
            </w:r>
          </w:p>
        </w:tc>
        <w:tc>
          <w:tcPr>
            <w:tcW w:w="2102" w:type="dxa"/>
          </w:tcPr>
          <w:p w:rsidR="00E3369D" w:rsidRDefault="005D4E75">
            <w:pPr>
              <w:spacing w:after="120"/>
              <w:ind w:left="95"/>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0.5% KPI Credit gained for each percentage under the specified KPI Level Performance Measure</w:t>
            </w:r>
            <w:r>
              <w:rPr>
                <w:rFonts w:ascii="Arial" w:eastAsia="Arial" w:hAnsi="Arial" w:cs="Arial"/>
                <w:sz w:val="24"/>
                <w:szCs w:val="24"/>
              </w:rPr>
              <w:t>]</w:t>
            </w:r>
          </w:p>
        </w:tc>
        <w:tc>
          <w:tcPr>
            <w:tcW w:w="2102" w:type="dxa"/>
          </w:tcPr>
          <w:p w:rsidR="00E3369D" w:rsidRDefault="005D4E75">
            <w:pPr>
              <w:spacing w:after="120"/>
              <w:ind w:left="95"/>
              <w:rPr>
                <w:rFonts w:ascii="Arial" w:eastAsia="Arial" w:hAnsi="Arial" w:cs="Arial"/>
                <w:sz w:val="24"/>
                <w:szCs w:val="24"/>
              </w:rPr>
            </w:pPr>
            <w:r>
              <w:rPr>
                <w:rFonts w:ascii="Arial" w:eastAsia="Arial" w:hAnsi="Arial" w:cs="Arial"/>
              </w:rPr>
              <w:t>[Yes/No]</w:t>
            </w:r>
          </w:p>
        </w:tc>
      </w:tr>
      <w:tr w:rsidR="00E3369D">
        <w:trPr>
          <w:trHeight w:val="1165"/>
          <w:jc w:val="center"/>
        </w:trPr>
        <w:tc>
          <w:tcPr>
            <w:tcW w:w="1713" w:type="dxa"/>
          </w:tcPr>
          <w:p w:rsidR="00E3369D" w:rsidRDefault="005D4E75">
            <w:pPr>
              <w:spacing w:after="120"/>
              <w:ind w:left="61"/>
              <w:rPr>
                <w:rFonts w:ascii="Arial" w:eastAsia="Arial" w:hAnsi="Arial" w:cs="Arial"/>
                <w:sz w:val="24"/>
                <w:szCs w:val="24"/>
              </w:rPr>
            </w:pPr>
            <w:r>
              <w:rPr>
                <w:rFonts w:ascii="Arial" w:eastAsia="Arial" w:hAnsi="Arial" w:cs="Arial"/>
                <w:sz w:val="24"/>
                <w:szCs w:val="24"/>
              </w:rPr>
              <w:t>[Definition]</w:t>
            </w:r>
          </w:p>
        </w:tc>
        <w:tc>
          <w:tcPr>
            <w:tcW w:w="1571" w:type="dxa"/>
          </w:tcPr>
          <w:p w:rsidR="00E3369D" w:rsidRDefault="005D4E75">
            <w:pPr>
              <w:spacing w:after="120"/>
              <w:ind w:left="95"/>
              <w:rPr>
                <w:rFonts w:ascii="Arial" w:eastAsia="Arial" w:hAnsi="Arial" w:cs="Arial"/>
                <w:sz w:val="24"/>
                <w:szCs w:val="24"/>
              </w:rPr>
            </w:pPr>
            <w:r>
              <w:rPr>
                <w:rFonts w:ascii="Arial" w:eastAsia="Arial" w:hAnsi="Arial" w:cs="Arial"/>
                <w:highlight w:val="yellow"/>
              </w:rPr>
              <w:t>[  ]</w:t>
            </w:r>
          </w:p>
        </w:tc>
        <w:tc>
          <w:tcPr>
            <w:tcW w:w="1701" w:type="dxa"/>
          </w:tcPr>
          <w:p w:rsidR="00E3369D" w:rsidRDefault="005D4E75">
            <w:pPr>
              <w:spacing w:after="120"/>
              <w:rPr>
                <w:rFonts w:ascii="Arial" w:eastAsia="Arial" w:hAnsi="Arial" w:cs="Arial"/>
                <w:sz w:val="24"/>
                <w:szCs w:val="24"/>
              </w:rPr>
            </w:pPr>
            <w:r>
              <w:rPr>
                <w:rFonts w:ascii="Arial" w:eastAsia="Arial" w:hAnsi="Arial" w:cs="Arial"/>
                <w:highlight w:val="yellow"/>
              </w:rPr>
              <w:t>[  ]</w:t>
            </w:r>
          </w:p>
        </w:tc>
        <w:tc>
          <w:tcPr>
            <w:tcW w:w="1418" w:type="dxa"/>
          </w:tcPr>
          <w:p w:rsidR="00E3369D" w:rsidRDefault="005D4E75">
            <w:pPr>
              <w:spacing w:after="120"/>
              <w:ind w:left="95"/>
              <w:rPr>
                <w:rFonts w:ascii="Arial" w:eastAsia="Arial" w:hAnsi="Arial" w:cs="Arial"/>
                <w:sz w:val="24"/>
                <w:szCs w:val="24"/>
              </w:rPr>
            </w:pPr>
            <w:r>
              <w:rPr>
                <w:rFonts w:ascii="Arial" w:eastAsia="Arial" w:hAnsi="Arial" w:cs="Arial"/>
                <w:highlight w:val="yellow"/>
              </w:rPr>
              <w:t>[  ]</w:t>
            </w:r>
          </w:p>
        </w:tc>
        <w:tc>
          <w:tcPr>
            <w:tcW w:w="2102" w:type="dxa"/>
          </w:tcPr>
          <w:p w:rsidR="00E3369D" w:rsidRDefault="005D4E75">
            <w:pPr>
              <w:spacing w:after="120"/>
              <w:ind w:left="95"/>
              <w:rPr>
                <w:rFonts w:ascii="Arial" w:eastAsia="Arial" w:hAnsi="Arial" w:cs="Arial"/>
                <w:sz w:val="24"/>
                <w:szCs w:val="24"/>
              </w:rPr>
            </w:pPr>
            <w:r>
              <w:rPr>
                <w:rFonts w:ascii="Arial" w:eastAsia="Arial" w:hAnsi="Arial" w:cs="Arial"/>
                <w:highlight w:val="yellow"/>
              </w:rPr>
              <w:t>[  ]</w:t>
            </w:r>
          </w:p>
        </w:tc>
        <w:tc>
          <w:tcPr>
            <w:tcW w:w="2102" w:type="dxa"/>
          </w:tcPr>
          <w:p w:rsidR="00E3369D" w:rsidRDefault="005D4E75">
            <w:pPr>
              <w:spacing w:after="120"/>
              <w:ind w:left="95"/>
              <w:rPr>
                <w:rFonts w:ascii="Arial" w:eastAsia="Arial" w:hAnsi="Arial" w:cs="Arial"/>
              </w:rPr>
            </w:pPr>
            <w:r>
              <w:rPr>
                <w:rFonts w:ascii="Arial" w:eastAsia="Arial" w:hAnsi="Arial" w:cs="Arial"/>
              </w:rPr>
              <w:t>[Yes/No]</w:t>
            </w:r>
          </w:p>
        </w:tc>
      </w:tr>
      <w:tr w:rsidR="00E3369D">
        <w:trPr>
          <w:trHeight w:val="1474"/>
          <w:jc w:val="center"/>
        </w:trPr>
        <w:tc>
          <w:tcPr>
            <w:tcW w:w="1713" w:type="dxa"/>
          </w:tcPr>
          <w:p w:rsidR="00E3369D" w:rsidRDefault="005D4E75">
            <w:pPr>
              <w:spacing w:after="120"/>
              <w:ind w:left="61"/>
              <w:rPr>
                <w:rFonts w:ascii="Arial" w:eastAsia="Arial" w:hAnsi="Arial" w:cs="Arial"/>
              </w:rPr>
            </w:pPr>
            <w:r>
              <w:rPr>
                <w:rFonts w:ascii="Arial" w:eastAsia="Arial" w:hAnsi="Arial" w:cs="Arial"/>
              </w:rPr>
              <w:t>[</w:t>
            </w:r>
            <w:r>
              <w:rPr>
                <w:rFonts w:ascii="Arial" w:eastAsia="Arial" w:hAnsi="Arial" w:cs="Arial"/>
                <w:highlight w:val="yellow"/>
              </w:rPr>
              <w:t xml:space="preserve">Social </w:t>
            </w:r>
            <w:proofErr w:type="gramStart"/>
            <w:r>
              <w:rPr>
                <w:rFonts w:ascii="Arial" w:eastAsia="Arial" w:hAnsi="Arial" w:cs="Arial"/>
                <w:highlight w:val="yellow"/>
              </w:rPr>
              <w:t>Value  1</w:t>
            </w:r>
            <w:proofErr w:type="gramEnd"/>
            <w:r>
              <w:rPr>
                <w:rFonts w:ascii="Arial" w:eastAsia="Arial" w:hAnsi="Arial" w:cs="Arial"/>
                <w:highlight w:val="yellow"/>
              </w:rPr>
              <w:t>]</w:t>
            </w:r>
          </w:p>
        </w:tc>
        <w:tc>
          <w:tcPr>
            <w:tcW w:w="1571" w:type="dxa"/>
          </w:tcPr>
          <w:p w:rsidR="00E3369D" w:rsidRDefault="005D4E75">
            <w:pPr>
              <w:spacing w:after="120"/>
              <w:ind w:left="95"/>
              <w:rPr>
                <w:rFonts w:ascii="Arial" w:eastAsia="Arial" w:hAnsi="Arial" w:cs="Arial"/>
                <w:highlight w:val="yellow"/>
              </w:rPr>
            </w:pPr>
            <w:r>
              <w:rPr>
                <w:rFonts w:ascii="Arial" w:eastAsia="Arial" w:hAnsi="Arial" w:cs="Arial"/>
                <w:highlight w:val="yellow"/>
              </w:rPr>
              <w:t>[  ]</w:t>
            </w:r>
          </w:p>
        </w:tc>
        <w:tc>
          <w:tcPr>
            <w:tcW w:w="1701" w:type="dxa"/>
          </w:tcPr>
          <w:p w:rsidR="00E3369D" w:rsidRDefault="005D4E75">
            <w:pPr>
              <w:spacing w:after="120"/>
              <w:rPr>
                <w:rFonts w:ascii="Arial" w:eastAsia="Arial" w:hAnsi="Arial" w:cs="Arial"/>
                <w:highlight w:val="yellow"/>
              </w:rPr>
            </w:pPr>
            <w:r>
              <w:rPr>
                <w:rFonts w:ascii="Arial" w:eastAsia="Arial" w:hAnsi="Arial" w:cs="Arial"/>
                <w:highlight w:val="yellow"/>
              </w:rPr>
              <w:t>[  ]</w:t>
            </w:r>
          </w:p>
        </w:tc>
        <w:tc>
          <w:tcPr>
            <w:tcW w:w="1418" w:type="dxa"/>
          </w:tcPr>
          <w:p w:rsidR="00E3369D" w:rsidRDefault="005D4E75">
            <w:pPr>
              <w:spacing w:after="120"/>
              <w:ind w:left="95"/>
              <w:rPr>
                <w:rFonts w:ascii="Arial" w:eastAsia="Arial" w:hAnsi="Arial" w:cs="Arial"/>
                <w:highlight w:val="yellow"/>
              </w:rPr>
            </w:pPr>
            <w:r>
              <w:rPr>
                <w:rFonts w:ascii="Arial" w:eastAsia="Arial" w:hAnsi="Arial" w:cs="Arial"/>
                <w:highlight w:val="yellow"/>
              </w:rPr>
              <w:t>[  ]</w:t>
            </w:r>
          </w:p>
        </w:tc>
        <w:tc>
          <w:tcPr>
            <w:tcW w:w="2102" w:type="dxa"/>
          </w:tcPr>
          <w:p w:rsidR="00E3369D" w:rsidRDefault="005D4E75">
            <w:pPr>
              <w:spacing w:after="120"/>
              <w:ind w:left="95"/>
              <w:rPr>
                <w:rFonts w:ascii="Arial" w:eastAsia="Arial" w:hAnsi="Arial" w:cs="Arial"/>
                <w:highlight w:val="yellow"/>
              </w:rPr>
            </w:pPr>
            <w:r>
              <w:rPr>
                <w:rFonts w:ascii="Arial" w:eastAsia="Arial" w:hAnsi="Arial" w:cs="Arial"/>
                <w:highlight w:val="yellow"/>
              </w:rPr>
              <w:t>[  ]</w:t>
            </w:r>
          </w:p>
        </w:tc>
        <w:tc>
          <w:tcPr>
            <w:tcW w:w="2102" w:type="dxa"/>
          </w:tcPr>
          <w:p w:rsidR="00E3369D" w:rsidRDefault="005D4E75">
            <w:pPr>
              <w:spacing w:after="120"/>
              <w:ind w:left="95"/>
              <w:rPr>
                <w:rFonts w:ascii="Arial" w:eastAsia="Arial" w:hAnsi="Arial" w:cs="Arial"/>
              </w:rPr>
            </w:pPr>
            <w:r>
              <w:rPr>
                <w:rFonts w:ascii="Arial" w:eastAsia="Arial" w:hAnsi="Arial" w:cs="Arial"/>
              </w:rPr>
              <w:t>[Yes/No]</w:t>
            </w:r>
          </w:p>
        </w:tc>
      </w:tr>
      <w:tr w:rsidR="00E3369D">
        <w:trPr>
          <w:trHeight w:val="1474"/>
          <w:jc w:val="center"/>
        </w:trPr>
        <w:tc>
          <w:tcPr>
            <w:tcW w:w="1713" w:type="dxa"/>
          </w:tcPr>
          <w:p w:rsidR="00E3369D" w:rsidRDefault="005D4E75">
            <w:pPr>
              <w:spacing w:after="120"/>
              <w:ind w:left="61"/>
              <w:rPr>
                <w:rFonts w:ascii="Arial" w:eastAsia="Arial" w:hAnsi="Arial" w:cs="Arial"/>
              </w:rPr>
            </w:pPr>
            <w:r>
              <w:rPr>
                <w:rFonts w:ascii="Arial" w:eastAsia="Arial" w:hAnsi="Arial" w:cs="Arial"/>
              </w:rPr>
              <w:t>[</w:t>
            </w:r>
            <w:r>
              <w:rPr>
                <w:rFonts w:ascii="Arial" w:eastAsia="Arial" w:hAnsi="Arial" w:cs="Arial"/>
                <w:highlight w:val="yellow"/>
              </w:rPr>
              <w:t xml:space="preserve">Social </w:t>
            </w:r>
            <w:proofErr w:type="gramStart"/>
            <w:r>
              <w:rPr>
                <w:rFonts w:ascii="Arial" w:eastAsia="Arial" w:hAnsi="Arial" w:cs="Arial"/>
                <w:highlight w:val="yellow"/>
              </w:rPr>
              <w:t>Value  2</w:t>
            </w:r>
            <w:proofErr w:type="gramEnd"/>
            <w:r>
              <w:rPr>
                <w:rFonts w:ascii="Arial" w:eastAsia="Arial" w:hAnsi="Arial" w:cs="Arial"/>
                <w:highlight w:val="yellow"/>
              </w:rPr>
              <w:t>]</w:t>
            </w:r>
          </w:p>
        </w:tc>
        <w:tc>
          <w:tcPr>
            <w:tcW w:w="1571" w:type="dxa"/>
          </w:tcPr>
          <w:p w:rsidR="00E3369D" w:rsidRDefault="005D4E75">
            <w:pPr>
              <w:spacing w:after="120"/>
              <w:ind w:left="95"/>
              <w:rPr>
                <w:rFonts w:ascii="Arial" w:eastAsia="Arial" w:hAnsi="Arial" w:cs="Arial"/>
                <w:highlight w:val="yellow"/>
              </w:rPr>
            </w:pPr>
            <w:r>
              <w:rPr>
                <w:rFonts w:ascii="Arial" w:eastAsia="Arial" w:hAnsi="Arial" w:cs="Arial"/>
                <w:highlight w:val="yellow"/>
              </w:rPr>
              <w:t>[  ]</w:t>
            </w:r>
          </w:p>
        </w:tc>
        <w:tc>
          <w:tcPr>
            <w:tcW w:w="1701" w:type="dxa"/>
          </w:tcPr>
          <w:p w:rsidR="00E3369D" w:rsidRDefault="005D4E75">
            <w:pPr>
              <w:spacing w:after="120"/>
              <w:rPr>
                <w:rFonts w:ascii="Arial" w:eastAsia="Arial" w:hAnsi="Arial" w:cs="Arial"/>
                <w:highlight w:val="yellow"/>
              </w:rPr>
            </w:pPr>
            <w:r>
              <w:rPr>
                <w:rFonts w:ascii="Arial" w:eastAsia="Arial" w:hAnsi="Arial" w:cs="Arial"/>
                <w:highlight w:val="yellow"/>
              </w:rPr>
              <w:t>[  ]</w:t>
            </w:r>
          </w:p>
        </w:tc>
        <w:tc>
          <w:tcPr>
            <w:tcW w:w="1418" w:type="dxa"/>
          </w:tcPr>
          <w:p w:rsidR="00E3369D" w:rsidRDefault="005D4E75">
            <w:pPr>
              <w:spacing w:after="120"/>
              <w:ind w:left="95"/>
              <w:rPr>
                <w:rFonts w:ascii="Arial" w:eastAsia="Arial" w:hAnsi="Arial" w:cs="Arial"/>
                <w:highlight w:val="yellow"/>
              </w:rPr>
            </w:pPr>
            <w:r>
              <w:rPr>
                <w:rFonts w:ascii="Arial" w:eastAsia="Arial" w:hAnsi="Arial" w:cs="Arial"/>
                <w:highlight w:val="yellow"/>
              </w:rPr>
              <w:t>[  ]</w:t>
            </w:r>
          </w:p>
        </w:tc>
        <w:tc>
          <w:tcPr>
            <w:tcW w:w="2102" w:type="dxa"/>
          </w:tcPr>
          <w:p w:rsidR="00E3369D" w:rsidRDefault="005D4E75">
            <w:pPr>
              <w:spacing w:after="120"/>
              <w:ind w:left="95"/>
              <w:rPr>
                <w:rFonts w:ascii="Arial" w:eastAsia="Arial" w:hAnsi="Arial" w:cs="Arial"/>
                <w:highlight w:val="yellow"/>
              </w:rPr>
            </w:pPr>
            <w:r>
              <w:rPr>
                <w:rFonts w:ascii="Arial" w:eastAsia="Arial" w:hAnsi="Arial" w:cs="Arial"/>
                <w:highlight w:val="yellow"/>
              </w:rPr>
              <w:t>[  ]</w:t>
            </w:r>
          </w:p>
        </w:tc>
        <w:tc>
          <w:tcPr>
            <w:tcW w:w="2102" w:type="dxa"/>
          </w:tcPr>
          <w:p w:rsidR="00E3369D" w:rsidRDefault="005D4E75">
            <w:pPr>
              <w:spacing w:after="120"/>
              <w:ind w:left="95"/>
              <w:rPr>
                <w:rFonts w:ascii="Arial" w:eastAsia="Arial" w:hAnsi="Arial" w:cs="Arial"/>
              </w:rPr>
            </w:pPr>
            <w:r>
              <w:rPr>
                <w:rFonts w:ascii="Arial" w:eastAsia="Arial" w:hAnsi="Arial" w:cs="Arial"/>
              </w:rPr>
              <w:t>[Yes/No]</w:t>
            </w:r>
          </w:p>
        </w:tc>
      </w:tr>
      <w:tr w:rsidR="00E3369D">
        <w:trPr>
          <w:trHeight w:val="1474"/>
          <w:jc w:val="center"/>
        </w:trPr>
        <w:tc>
          <w:tcPr>
            <w:tcW w:w="1713" w:type="dxa"/>
          </w:tcPr>
          <w:p w:rsidR="00E3369D" w:rsidRDefault="005D4E75">
            <w:pPr>
              <w:spacing w:after="120"/>
              <w:ind w:left="61"/>
              <w:rPr>
                <w:rFonts w:ascii="Arial" w:eastAsia="Arial" w:hAnsi="Arial" w:cs="Arial"/>
              </w:rPr>
            </w:pPr>
            <w:r>
              <w:rPr>
                <w:rFonts w:ascii="Arial" w:eastAsia="Arial" w:hAnsi="Arial" w:cs="Arial"/>
              </w:rPr>
              <w:t>[</w:t>
            </w:r>
            <w:r>
              <w:rPr>
                <w:rFonts w:ascii="Arial" w:eastAsia="Arial" w:hAnsi="Arial" w:cs="Arial"/>
                <w:highlight w:val="yellow"/>
              </w:rPr>
              <w:t>Social Value I 3]</w:t>
            </w:r>
          </w:p>
        </w:tc>
        <w:tc>
          <w:tcPr>
            <w:tcW w:w="1571" w:type="dxa"/>
          </w:tcPr>
          <w:p w:rsidR="00E3369D" w:rsidRDefault="005D4E75">
            <w:pPr>
              <w:spacing w:after="120"/>
              <w:ind w:left="95"/>
              <w:rPr>
                <w:rFonts w:ascii="Arial" w:eastAsia="Arial" w:hAnsi="Arial" w:cs="Arial"/>
                <w:highlight w:val="yellow"/>
              </w:rPr>
            </w:pPr>
            <w:r>
              <w:rPr>
                <w:rFonts w:ascii="Arial" w:eastAsia="Arial" w:hAnsi="Arial" w:cs="Arial"/>
                <w:highlight w:val="yellow"/>
              </w:rPr>
              <w:t>[  ]</w:t>
            </w:r>
          </w:p>
        </w:tc>
        <w:tc>
          <w:tcPr>
            <w:tcW w:w="1701" w:type="dxa"/>
          </w:tcPr>
          <w:p w:rsidR="00E3369D" w:rsidRDefault="005D4E75">
            <w:pPr>
              <w:spacing w:after="120"/>
              <w:rPr>
                <w:rFonts w:ascii="Arial" w:eastAsia="Arial" w:hAnsi="Arial" w:cs="Arial"/>
                <w:highlight w:val="yellow"/>
              </w:rPr>
            </w:pPr>
            <w:r>
              <w:rPr>
                <w:rFonts w:ascii="Arial" w:eastAsia="Arial" w:hAnsi="Arial" w:cs="Arial"/>
                <w:highlight w:val="yellow"/>
              </w:rPr>
              <w:t>[  ]</w:t>
            </w:r>
          </w:p>
        </w:tc>
        <w:tc>
          <w:tcPr>
            <w:tcW w:w="1418" w:type="dxa"/>
          </w:tcPr>
          <w:p w:rsidR="00E3369D" w:rsidRDefault="005D4E75">
            <w:pPr>
              <w:spacing w:after="120"/>
              <w:ind w:left="95"/>
              <w:rPr>
                <w:rFonts w:ascii="Arial" w:eastAsia="Arial" w:hAnsi="Arial" w:cs="Arial"/>
                <w:highlight w:val="yellow"/>
              </w:rPr>
            </w:pPr>
            <w:r>
              <w:rPr>
                <w:rFonts w:ascii="Arial" w:eastAsia="Arial" w:hAnsi="Arial" w:cs="Arial"/>
                <w:highlight w:val="yellow"/>
              </w:rPr>
              <w:t>[  ]</w:t>
            </w:r>
          </w:p>
        </w:tc>
        <w:tc>
          <w:tcPr>
            <w:tcW w:w="2102" w:type="dxa"/>
          </w:tcPr>
          <w:p w:rsidR="00E3369D" w:rsidRDefault="005D4E75">
            <w:pPr>
              <w:spacing w:after="120"/>
              <w:ind w:left="95"/>
              <w:rPr>
                <w:rFonts w:ascii="Arial" w:eastAsia="Arial" w:hAnsi="Arial" w:cs="Arial"/>
                <w:highlight w:val="yellow"/>
              </w:rPr>
            </w:pPr>
            <w:r>
              <w:rPr>
                <w:rFonts w:ascii="Arial" w:eastAsia="Arial" w:hAnsi="Arial" w:cs="Arial"/>
                <w:highlight w:val="yellow"/>
              </w:rPr>
              <w:t>[  ]</w:t>
            </w:r>
          </w:p>
        </w:tc>
        <w:tc>
          <w:tcPr>
            <w:tcW w:w="2102" w:type="dxa"/>
          </w:tcPr>
          <w:p w:rsidR="00E3369D" w:rsidRDefault="005D4E75">
            <w:pPr>
              <w:spacing w:after="120"/>
              <w:ind w:left="95"/>
              <w:rPr>
                <w:rFonts w:ascii="Arial" w:eastAsia="Arial" w:hAnsi="Arial" w:cs="Arial"/>
              </w:rPr>
            </w:pPr>
            <w:r>
              <w:rPr>
                <w:rFonts w:ascii="Arial" w:eastAsia="Arial" w:hAnsi="Arial" w:cs="Arial"/>
              </w:rPr>
              <w:t>[Yes/No]</w:t>
            </w:r>
          </w:p>
        </w:tc>
      </w:tr>
    </w:tbl>
    <w:p w:rsidR="00E3369D" w:rsidRDefault="00E3369D">
      <w:pPr>
        <w:ind w:left="709"/>
        <w:rPr>
          <w:rFonts w:ascii="Arial" w:eastAsia="Arial" w:hAnsi="Arial" w:cs="Arial"/>
          <w:sz w:val="24"/>
          <w:szCs w:val="24"/>
          <w:highlight w:val="green"/>
        </w:rPr>
      </w:pPr>
    </w:p>
    <w:p w:rsidR="00E3369D" w:rsidRDefault="005D4E75">
      <w:pPr>
        <w:ind w:left="709"/>
        <w:rPr>
          <w:rFonts w:ascii="Arial" w:eastAsia="Arial" w:hAnsi="Arial" w:cs="Arial"/>
          <w:sz w:val="24"/>
          <w:szCs w:val="24"/>
        </w:rPr>
      </w:pPr>
      <w:r>
        <w:rPr>
          <w:rFonts w:ascii="Arial" w:eastAsia="Arial" w:hAnsi="Arial" w:cs="Arial"/>
          <w:sz w:val="24"/>
          <w:szCs w:val="24"/>
        </w:rPr>
        <w:t>The KPI Credits shall be calculated on the basis of the following formula:</w:t>
      </w:r>
    </w:p>
    <w:p w:rsidR="00E3369D" w:rsidRDefault="005D4E75">
      <w:pPr>
        <w:ind w:left="709"/>
        <w:rPr>
          <w:rFonts w:ascii="Arial" w:eastAsia="Arial" w:hAnsi="Arial" w:cs="Arial"/>
          <w:sz w:val="24"/>
          <w:szCs w:val="24"/>
          <w:highlight w:val="yellow"/>
        </w:rPr>
      </w:pPr>
      <w:r>
        <w:rPr>
          <w:rFonts w:ascii="Arial" w:eastAsia="Arial" w:hAnsi="Arial" w:cs="Arial"/>
          <w:sz w:val="24"/>
          <w:szCs w:val="24"/>
          <w:highlight w:val="yellow"/>
        </w:rPr>
        <w:lastRenderedPageBreak/>
        <w:t>[Example:</w:t>
      </w:r>
    </w:p>
    <w:tbl>
      <w:tblPr>
        <w:tblStyle w:val="afff2"/>
        <w:tblW w:w="9026" w:type="dxa"/>
        <w:tblLayout w:type="fixed"/>
        <w:tblLook w:val="0000" w:firstRow="0" w:lastRow="0" w:firstColumn="0" w:lastColumn="0" w:noHBand="0" w:noVBand="0"/>
      </w:tblPr>
      <w:tblGrid>
        <w:gridCol w:w="4375"/>
        <w:gridCol w:w="685"/>
        <w:gridCol w:w="3966"/>
      </w:tblGrid>
      <w:tr w:rsidR="00E3369D">
        <w:tc>
          <w:tcPr>
            <w:tcW w:w="4375" w:type="dxa"/>
          </w:tcPr>
          <w:p w:rsidR="00E3369D" w:rsidRDefault="005D4E75">
            <w:pPr>
              <w:ind w:left="567"/>
              <w:rPr>
                <w:rFonts w:ascii="Arial" w:eastAsia="Arial" w:hAnsi="Arial" w:cs="Arial"/>
                <w:sz w:val="24"/>
                <w:szCs w:val="24"/>
              </w:rPr>
            </w:pPr>
            <w:r>
              <w:rPr>
                <w:rFonts w:ascii="Arial" w:eastAsia="Arial" w:hAnsi="Arial" w:cs="Arial"/>
                <w:sz w:val="24"/>
                <w:szCs w:val="24"/>
              </w:rPr>
              <w:t xml:space="preserve">Formula: x% (KPI Performance Measure) - y% (actual KPI performance)  </w:t>
            </w:r>
          </w:p>
        </w:tc>
        <w:tc>
          <w:tcPr>
            <w:tcW w:w="685" w:type="dxa"/>
          </w:tcPr>
          <w:p w:rsidR="00E3369D" w:rsidRDefault="005D4E75">
            <w:pPr>
              <w:ind w:left="211"/>
              <w:rPr>
                <w:rFonts w:ascii="Arial" w:eastAsia="Arial" w:hAnsi="Arial" w:cs="Arial"/>
                <w:sz w:val="24"/>
                <w:szCs w:val="24"/>
              </w:rPr>
            </w:pPr>
            <w:r>
              <w:rPr>
                <w:rFonts w:ascii="Arial" w:eastAsia="Arial" w:hAnsi="Arial" w:cs="Arial"/>
                <w:sz w:val="24"/>
                <w:szCs w:val="24"/>
              </w:rPr>
              <w:t>=</w:t>
            </w:r>
          </w:p>
        </w:tc>
        <w:tc>
          <w:tcPr>
            <w:tcW w:w="3966" w:type="dxa"/>
          </w:tcPr>
          <w:p w:rsidR="00E3369D" w:rsidRDefault="005D4E75">
            <w:pPr>
              <w:ind w:left="145"/>
              <w:rPr>
                <w:rFonts w:ascii="Arial" w:eastAsia="Arial" w:hAnsi="Arial" w:cs="Arial"/>
                <w:sz w:val="24"/>
                <w:szCs w:val="24"/>
              </w:rPr>
            </w:pPr>
            <w:r>
              <w:rPr>
                <w:rFonts w:ascii="Arial" w:eastAsia="Arial" w:hAnsi="Arial" w:cs="Arial"/>
                <w:sz w:val="24"/>
                <w:szCs w:val="24"/>
              </w:rPr>
              <w:t>% of the Charges payable to the Buyer as KPI Credits to be deducted from the next Invoice payable by the Buyer</w:t>
            </w:r>
          </w:p>
        </w:tc>
      </w:tr>
      <w:tr w:rsidR="00E3369D">
        <w:tc>
          <w:tcPr>
            <w:tcW w:w="4375" w:type="dxa"/>
          </w:tcPr>
          <w:p w:rsidR="00E3369D" w:rsidRDefault="005D4E75">
            <w:pPr>
              <w:ind w:left="567"/>
              <w:rPr>
                <w:rFonts w:ascii="Arial" w:eastAsia="Arial" w:hAnsi="Arial" w:cs="Arial"/>
                <w:sz w:val="24"/>
                <w:szCs w:val="24"/>
              </w:rPr>
            </w:pPr>
            <w:r>
              <w:rPr>
                <w:rFonts w:ascii="Arial" w:eastAsia="Arial" w:hAnsi="Arial" w:cs="Arial"/>
                <w:sz w:val="24"/>
                <w:szCs w:val="24"/>
              </w:rPr>
              <w:t>Worked example: 98% (e.g. KPI Performance Measure requirement for accurate and timely billing KPI) - 75% (e.g. actual performance achieved again</w:t>
            </w:r>
            <w:r>
              <w:rPr>
                <w:rFonts w:ascii="Arial" w:eastAsia="Arial" w:hAnsi="Arial" w:cs="Arial"/>
                <w:sz w:val="24"/>
                <w:szCs w:val="24"/>
              </w:rPr>
              <w:t xml:space="preserve">st this KPI in a Service Period) </w:t>
            </w:r>
          </w:p>
          <w:p w:rsidR="00E3369D" w:rsidRDefault="00E3369D">
            <w:pPr>
              <w:ind w:left="567"/>
              <w:rPr>
                <w:rFonts w:ascii="Arial" w:eastAsia="Arial" w:hAnsi="Arial" w:cs="Arial"/>
                <w:sz w:val="24"/>
                <w:szCs w:val="24"/>
              </w:rPr>
            </w:pPr>
          </w:p>
        </w:tc>
        <w:tc>
          <w:tcPr>
            <w:tcW w:w="685" w:type="dxa"/>
          </w:tcPr>
          <w:p w:rsidR="00E3369D" w:rsidRDefault="005D4E75">
            <w:pPr>
              <w:ind w:left="211"/>
              <w:rPr>
                <w:rFonts w:ascii="Arial" w:eastAsia="Arial" w:hAnsi="Arial" w:cs="Arial"/>
                <w:sz w:val="24"/>
                <w:szCs w:val="24"/>
              </w:rPr>
            </w:pPr>
            <w:r>
              <w:rPr>
                <w:rFonts w:ascii="Arial" w:eastAsia="Arial" w:hAnsi="Arial" w:cs="Arial"/>
                <w:sz w:val="24"/>
                <w:szCs w:val="24"/>
              </w:rPr>
              <w:t>=</w:t>
            </w:r>
          </w:p>
        </w:tc>
        <w:tc>
          <w:tcPr>
            <w:tcW w:w="3966" w:type="dxa"/>
          </w:tcPr>
          <w:p w:rsidR="00E3369D" w:rsidRDefault="005D4E75">
            <w:pPr>
              <w:ind w:left="145"/>
              <w:rPr>
                <w:rFonts w:ascii="Arial" w:eastAsia="Arial" w:hAnsi="Arial" w:cs="Arial"/>
                <w:sz w:val="24"/>
                <w:szCs w:val="24"/>
              </w:rPr>
            </w:pPr>
            <w:r>
              <w:rPr>
                <w:rFonts w:ascii="Arial" w:eastAsia="Arial" w:hAnsi="Arial" w:cs="Arial"/>
                <w:sz w:val="24"/>
                <w:szCs w:val="24"/>
              </w:rPr>
              <w:t>23% of the Charges payable to the Buyer as KPI Credits to be deducted from the next Invoice payable by the Buyer]</w:t>
            </w:r>
          </w:p>
          <w:p w:rsidR="00E3369D" w:rsidRDefault="00E3369D">
            <w:pPr>
              <w:ind w:left="145"/>
              <w:rPr>
                <w:rFonts w:ascii="Arial" w:eastAsia="Arial" w:hAnsi="Arial" w:cs="Arial"/>
                <w:sz w:val="24"/>
                <w:szCs w:val="24"/>
              </w:rPr>
            </w:pPr>
          </w:p>
        </w:tc>
      </w:tr>
    </w:tbl>
    <w:p w:rsidR="00E3369D" w:rsidRDefault="00E3369D">
      <w:pPr>
        <w:pBdr>
          <w:top w:val="nil"/>
          <w:left w:val="nil"/>
          <w:bottom w:val="nil"/>
          <w:right w:val="nil"/>
          <w:between w:val="nil"/>
        </w:pBdr>
        <w:spacing w:before="120" w:after="120" w:line="240" w:lineRule="auto"/>
        <w:rPr>
          <w:rFonts w:ascii="Arial" w:eastAsia="Arial" w:hAnsi="Arial" w:cs="Arial"/>
        </w:rPr>
      </w:pPr>
    </w:p>
    <w:p w:rsidR="00E3369D" w:rsidRDefault="00E3369D">
      <w:pPr>
        <w:pBdr>
          <w:top w:val="nil"/>
          <w:left w:val="nil"/>
          <w:bottom w:val="nil"/>
          <w:right w:val="nil"/>
          <w:between w:val="nil"/>
        </w:pBdr>
        <w:spacing w:before="120" w:after="120" w:line="240" w:lineRule="auto"/>
        <w:rPr>
          <w:rFonts w:ascii="Arial" w:eastAsia="Arial" w:hAnsi="Arial" w:cs="Arial"/>
        </w:rPr>
      </w:pPr>
    </w:p>
    <w:p w:rsidR="00E3369D" w:rsidRDefault="00E3369D">
      <w:pPr>
        <w:pBdr>
          <w:top w:val="nil"/>
          <w:left w:val="nil"/>
          <w:bottom w:val="nil"/>
          <w:right w:val="nil"/>
          <w:between w:val="nil"/>
        </w:pBdr>
        <w:spacing w:before="120" w:after="120" w:line="240" w:lineRule="auto"/>
        <w:rPr>
          <w:rFonts w:ascii="Arial" w:eastAsia="Arial" w:hAnsi="Arial" w:cs="Arial"/>
        </w:rPr>
      </w:pPr>
    </w:p>
    <w:p w:rsidR="00E3369D" w:rsidRDefault="00E3369D">
      <w:pPr>
        <w:pBdr>
          <w:top w:val="nil"/>
          <w:left w:val="nil"/>
          <w:bottom w:val="nil"/>
          <w:right w:val="nil"/>
          <w:between w:val="nil"/>
        </w:pBdr>
        <w:spacing w:before="120" w:after="120" w:line="240" w:lineRule="auto"/>
        <w:rPr>
          <w:rFonts w:ascii="Arial" w:eastAsia="Arial" w:hAnsi="Arial" w:cs="Arial"/>
        </w:rPr>
      </w:pPr>
    </w:p>
    <w:p w:rsidR="00E3369D" w:rsidRDefault="00E3369D">
      <w:pPr>
        <w:pBdr>
          <w:top w:val="nil"/>
          <w:left w:val="nil"/>
          <w:bottom w:val="nil"/>
          <w:right w:val="nil"/>
          <w:between w:val="nil"/>
        </w:pBdr>
        <w:spacing w:before="120" w:after="120" w:line="240" w:lineRule="auto"/>
        <w:rPr>
          <w:rFonts w:ascii="Arial" w:eastAsia="Arial" w:hAnsi="Arial" w:cs="Arial"/>
        </w:rPr>
      </w:pPr>
    </w:p>
    <w:p w:rsidR="00E3369D" w:rsidRDefault="00E3369D">
      <w:pPr>
        <w:pBdr>
          <w:top w:val="nil"/>
          <w:left w:val="nil"/>
          <w:bottom w:val="nil"/>
          <w:right w:val="nil"/>
          <w:between w:val="nil"/>
        </w:pBdr>
        <w:spacing w:before="120" w:after="120" w:line="240" w:lineRule="auto"/>
        <w:rPr>
          <w:rFonts w:ascii="Arial" w:eastAsia="Arial" w:hAnsi="Arial" w:cs="Arial"/>
        </w:rPr>
      </w:pPr>
    </w:p>
    <w:p w:rsidR="00E3369D" w:rsidRDefault="005D4E75">
      <w:pPr>
        <w:pBdr>
          <w:top w:val="nil"/>
          <w:left w:val="nil"/>
          <w:bottom w:val="nil"/>
          <w:right w:val="nil"/>
          <w:between w:val="nil"/>
        </w:pBdr>
        <w:spacing w:before="120" w:after="120" w:line="240" w:lineRule="auto"/>
        <w:rPr>
          <w:rFonts w:ascii="Arial" w:eastAsia="Arial" w:hAnsi="Arial" w:cs="Arial"/>
        </w:rPr>
      </w:pPr>
      <w:r>
        <w:rPr>
          <w:rFonts w:ascii="Arial" w:eastAsia="Arial" w:hAnsi="Arial" w:cs="Arial"/>
          <w:b/>
          <w:color w:val="000000"/>
          <w:sz w:val="36"/>
          <w:szCs w:val="36"/>
        </w:rPr>
        <w:t xml:space="preserve">Part B: Performance Monitoring </w:t>
      </w:r>
    </w:p>
    <w:p w:rsidR="00E3369D" w:rsidRDefault="005D4E75">
      <w:pPr>
        <w:numPr>
          <w:ilvl w:val="0"/>
          <w:numId w:val="3"/>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Performance Monitoring and Performance Review</w:t>
      </w:r>
    </w:p>
    <w:p w:rsidR="00E3369D" w:rsidRDefault="005D4E75">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Within twenty (20) Working Days of the Start Date the Supplier shall provide the Buyer with details of how the process in respect of the monitoring and reporting of KPI Performance Measures will operate between the Parties and the Parties will endeavour to</w:t>
      </w:r>
      <w:r>
        <w:rPr>
          <w:rFonts w:ascii="Arial" w:eastAsia="Arial" w:hAnsi="Arial" w:cs="Arial"/>
          <w:color w:val="000000"/>
          <w:sz w:val="24"/>
          <w:szCs w:val="24"/>
        </w:rPr>
        <w:t xml:space="preserve"> agree such process as soon as reasonably possible.</w:t>
      </w:r>
    </w:p>
    <w:p w:rsidR="00E3369D" w:rsidRDefault="005D4E75">
      <w:pPr>
        <w:keepNext/>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Supplier shall provide the Buyer with performance monitoring reports in the same format as that in the KPI </w:t>
      </w:r>
      <w:proofErr w:type="spellStart"/>
      <w:r>
        <w:rPr>
          <w:rFonts w:ascii="Arial" w:eastAsia="Arial" w:hAnsi="Arial" w:cs="Arial"/>
          <w:color w:val="000000"/>
          <w:sz w:val="24"/>
          <w:szCs w:val="24"/>
        </w:rPr>
        <w:t>Paymech</w:t>
      </w:r>
      <w:proofErr w:type="spellEnd"/>
      <w:r>
        <w:rPr>
          <w:rFonts w:ascii="Arial" w:eastAsia="Arial" w:hAnsi="Arial" w:cs="Arial"/>
          <w:color w:val="000000"/>
          <w:sz w:val="24"/>
          <w:szCs w:val="24"/>
        </w:rPr>
        <w:t xml:space="preserve"> Model ("</w:t>
      </w:r>
      <w:r>
        <w:rPr>
          <w:rFonts w:ascii="Arial" w:eastAsia="Arial" w:hAnsi="Arial" w:cs="Arial"/>
          <w:b/>
          <w:color w:val="000000"/>
          <w:sz w:val="24"/>
          <w:szCs w:val="24"/>
        </w:rPr>
        <w:t>Performance Monitoring Reports</w:t>
      </w:r>
      <w:r>
        <w:rPr>
          <w:rFonts w:ascii="Arial" w:eastAsia="Arial" w:hAnsi="Arial" w:cs="Arial"/>
          <w:color w:val="000000"/>
          <w:sz w:val="24"/>
          <w:szCs w:val="24"/>
        </w:rPr>
        <w:t xml:space="preserve">") in accordance with the process and timescales agreed pursuant to paragraph </w:t>
      </w:r>
      <w:r>
        <w:rPr>
          <w:rFonts w:ascii="Arial" w:eastAsia="Arial" w:hAnsi="Arial" w:cs="Arial"/>
          <w:sz w:val="24"/>
          <w:szCs w:val="24"/>
        </w:rPr>
        <w:t>1</w:t>
      </w:r>
      <w:r>
        <w:rPr>
          <w:rFonts w:ascii="Arial" w:eastAsia="Arial" w:hAnsi="Arial" w:cs="Arial"/>
          <w:color w:val="000000"/>
          <w:sz w:val="24"/>
          <w:szCs w:val="24"/>
        </w:rPr>
        <w:t>.1 of Part B of this Schedule which shall contain, as a minimum, the following information in respect of the relevant Service Period just ended:</w:t>
      </w:r>
    </w:p>
    <w:p w:rsidR="00E3369D" w:rsidRDefault="005D4E75">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for each KPI Performance Measure</w:t>
      </w:r>
      <w:r>
        <w:rPr>
          <w:rFonts w:ascii="Arial" w:eastAsia="Arial" w:hAnsi="Arial" w:cs="Arial"/>
          <w:color w:val="000000"/>
          <w:sz w:val="24"/>
          <w:szCs w:val="24"/>
        </w:rPr>
        <w:t>, the actual performance achieved over the KPI Performance Measure for the relevant Service Period;</w:t>
      </w:r>
    </w:p>
    <w:p w:rsidR="00E3369D" w:rsidRDefault="005D4E75">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summary of all failures to achieve KPI Performance Measures that occurred during that Service Period;</w:t>
      </w:r>
    </w:p>
    <w:p w:rsidR="00E3369D" w:rsidRDefault="005D4E75">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details of any Persistent KPI Failures;</w:t>
      </w:r>
    </w:p>
    <w:p w:rsidR="00E3369D" w:rsidRDefault="005D4E75">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for any Pers</w:t>
      </w:r>
      <w:r>
        <w:rPr>
          <w:rFonts w:ascii="Arial" w:eastAsia="Arial" w:hAnsi="Arial" w:cs="Arial"/>
          <w:color w:val="000000"/>
          <w:sz w:val="24"/>
          <w:szCs w:val="24"/>
        </w:rPr>
        <w:t>istent failures, actions taken to resolve the underlying cause and prevent recurrence;</w:t>
      </w:r>
    </w:p>
    <w:p w:rsidR="00E3369D" w:rsidRDefault="005D4E75">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KPI Credits to be applied in respect of the relevant Service Period indicating the KPI Performance Measure Failures and KPI Performance Measures to which the KPI Cre</w:t>
      </w:r>
      <w:r>
        <w:rPr>
          <w:rFonts w:ascii="Arial" w:eastAsia="Arial" w:hAnsi="Arial" w:cs="Arial"/>
          <w:color w:val="000000"/>
          <w:sz w:val="24"/>
          <w:szCs w:val="24"/>
        </w:rPr>
        <w:t>dits relate; and</w:t>
      </w:r>
    </w:p>
    <w:p w:rsidR="00E3369D" w:rsidRDefault="005D4E75">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such other details as the Buyer may reasonably require from time to time.</w:t>
      </w:r>
    </w:p>
    <w:p w:rsidR="00E3369D" w:rsidRDefault="005D4E75">
      <w:pPr>
        <w:keepNext/>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Parties shall attend meetings to discuss Performance Monitoring Reports ("</w:t>
      </w:r>
      <w:r>
        <w:rPr>
          <w:rFonts w:ascii="Arial" w:eastAsia="Arial" w:hAnsi="Arial" w:cs="Arial"/>
          <w:b/>
          <w:color w:val="000000"/>
          <w:sz w:val="24"/>
          <w:szCs w:val="24"/>
        </w:rPr>
        <w:t>Performance Review Meetings</w:t>
      </w:r>
      <w:r>
        <w:rPr>
          <w:rFonts w:ascii="Arial" w:eastAsia="Arial" w:hAnsi="Arial" w:cs="Arial"/>
          <w:color w:val="000000"/>
          <w:sz w:val="24"/>
          <w:szCs w:val="24"/>
        </w:rPr>
        <w:t xml:space="preserve">") on a Monthly basis. The Performance Review Meetings will </w:t>
      </w:r>
      <w:r>
        <w:rPr>
          <w:rFonts w:ascii="Arial" w:eastAsia="Arial" w:hAnsi="Arial" w:cs="Arial"/>
          <w:color w:val="000000"/>
          <w:sz w:val="24"/>
          <w:szCs w:val="24"/>
        </w:rPr>
        <w:t>be the forum for the review by the Supplier and the Buyer of the Performance Monitoring Reports.  The Performance Review Meetings shall:</w:t>
      </w:r>
    </w:p>
    <w:p w:rsidR="00E3369D" w:rsidRDefault="005D4E75">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take place within one (1) week of the Performance Monitoring Reports being issued by the Supplier at such location and </w:t>
      </w:r>
      <w:r>
        <w:rPr>
          <w:rFonts w:ascii="Arial" w:eastAsia="Arial" w:hAnsi="Arial" w:cs="Arial"/>
          <w:color w:val="000000"/>
          <w:sz w:val="24"/>
          <w:szCs w:val="24"/>
        </w:rPr>
        <w:t>time (within normal business hours) as the Buyer shall reasonably require;</w:t>
      </w:r>
    </w:p>
    <w:p w:rsidR="00E3369D" w:rsidRDefault="005D4E75">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be attended by the Supplier's Representative and the Buyer’s Representative; and</w:t>
      </w:r>
    </w:p>
    <w:p w:rsidR="00E3369D" w:rsidRDefault="005D4E75">
      <w:pPr>
        <w:numPr>
          <w:ilvl w:val="2"/>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be fully </w:t>
      </w:r>
      <w:proofErr w:type="spellStart"/>
      <w:r>
        <w:rPr>
          <w:rFonts w:ascii="Arial" w:eastAsia="Arial" w:hAnsi="Arial" w:cs="Arial"/>
          <w:color w:val="000000"/>
          <w:sz w:val="24"/>
          <w:szCs w:val="24"/>
        </w:rPr>
        <w:t>minuted</w:t>
      </w:r>
      <w:proofErr w:type="spellEnd"/>
      <w:r>
        <w:rPr>
          <w:rFonts w:ascii="Arial" w:eastAsia="Arial" w:hAnsi="Arial" w:cs="Arial"/>
          <w:color w:val="000000"/>
          <w:sz w:val="24"/>
          <w:szCs w:val="24"/>
        </w:rPr>
        <w:t xml:space="preserve"> by the Supplier and the minutes will be circulated by the Supplier to all attendees</w:t>
      </w:r>
      <w:r>
        <w:rPr>
          <w:rFonts w:ascii="Arial" w:eastAsia="Arial" w:hAnsi="Arial" w:cs="Arial"/>
          <w:color w:val="000000"/>
          <w:sz w:val="24"/>
          <w:szCs w:val="24"/>
        </w:rPr>
        <w:t xml:space="preserve"> at the relevant meeting and also to the Buyer’s Representative and any other recipients agreed at the relevant meeting.  </w:t>
      </w:r>
    </w:p>
    <w:p w:rsidR="00E3369D" w:rsidRDefault="005D4E75">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minutes of the preceding Month's Performance Review Meeting will be agreed and signed by both the Supplier's Representative and the Buyer’s Representative at each meeting.</w:t>
      </w:r>
    </w:p>
    <w:p w:rsidR="00E3369D" w:rsidRDefault="005D4E75">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to the Buyer such documentation as the Buyer may reas</w:t>
      </w:r>
      <w:r>
        <w:rPr>
          <w:rFonts w:ascii="Arial" w:eastAsia="Arial" w:hAnsi="Arial" w:cs="Arial"/>
          <w:color w:val="000000"/>
          <w:sz w:val="24"/>
          <w:szCs w:val="24"/>
        </w:rPr>
        <w:t>onably require in order to verify the level of the performance by the Supplier and the calculations of the amount of KPI Credits for any specified Service Period.</w:t>
      </w:r>
    </w:p>
    <w:p w:rsidR="00E3369D" w:rsidRDefault="00E3369D">
      <w:pPr>
        <w:pBdr>
          <w:top w:val="nil"/>
          <w:left w:val="nil"/>
          <w:bottom w:val="nil"/>
          <w:right w:val="nil"/>
          <w:between w:val="nil"/>
        </w:pBdr>
        <w:spacing w:before="120" w:after="120" w:line="240" w:lineRule="auto"/>
        <w:ind w:left="1440" w:hanging="576"/>
        <w:rPr>
          <w:rFonts w:ascii="Arial" w:eastAsia="Arial" w:hAnsi="Arial" w:cs="Arial"/>
          <w:color w:val="000000"/>
          <w:sz w:val="24"/>
          <w:szCs w:val="24"/>
        </w:rPr>
      </w:pPr>
    </w:p>
    <w:p w:rsidR="00E3369D" w:rsidRDefault="005D4E75">
      <w:pPr>
        <w:numPr>
          <w:ilvl w:val="0"/>
          <w:numId w:val="3"/>
        </w:numPr>
        <w:pBdr>
          <w:top w:val="nil"/>
          <w:left w:val="nil"/>
          <w:bottom w:val="nil"/>
          <w:right w:val="nil"/>
          <w:between w:val="nil"/>
        </w:pBdr>
        <w:tabs>
          <w:tab w:val="left" w:pos="142"/>
        </w:tabs>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Satisfaction Surveys</w:t>
      </w:r>
    </w:p>
    <w:p w:rsidR="00E3369D" w:rsidRDefault="005D4E75">
      <w:pPr>
        <w:numPr>
          <w:ilvl w:val="1"/>
          <w:numId w:val="3"/>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may undertake satisfaction surveys in respect of the Supplier</w:t>
      </w:r>
      <w:r>
        <w:rPr>
          <w:rFonts w:ascii="Arial" w:eastAsia="Arial" w:hAnsi="Arial" w:cs="Arial"/>
          <w:color w:val="000000"/>
          <w:sz w:val="24"/>
          <w:szCs w:val="24"/>
        </w:rPr>
        <w:t xml:space="preserve">'s provision of the Deliverables. The Buyer shall be entitled to notify the Supplier of any aspects of their performance of the provision of the Deliverables which the responses to the </w:t>
      </w:r>
      <w:r>
        <w:rPr>
          <w:rFonts w:ascii="Arial" w:eastAsia="Arial" w:hAnsi="Arial" w:cs="Arial"/>
          <w:sz w:val="24"/>
          <w:szCs w:val="24"/>
        </w:rPr>
        <w:t>s</w:t>
      </w:r>
      <w:r>
        <w:rPr>
          <w:rFonts w:ascii="Arial" w:eastAsia="Arial" w:hAnsi="Arial" w:cs="Arial"/>
          <w:color w:val="000000"/>
          <w:sz w:val="24"/>
          <w:szCs w:val="24"/>
        </w:rPr>
        <w:t xml:space="preserve">atisfaction </w:t>
      </w:r>
      <w:r>
        <w:rPr>
          <w:rFonts w:ascii="Arial" w:eastAsia="Arial" w:hAnsi="Arial" w:cs="Arial"/>
          <w:sz w:val="24"/>
          <w:szCs w:val="24"/>
        </w:rPr>
        <w:t>s</w:t>
      </w:r>
      <w:r>
        <w:rPr>
          <w:rFonts w:ascii="Arial" w:eastAsia="Arial" w:hAnsi="Arial" w:cs="Arial"/>
          <w:color w:val="000000"/>
          <w:sz w:val="24"/>
          <w:szCs w:val="24"/>
        </w:rPr>
        <w:t>urveys reasonably suggest are not in accordance with this</w:t>
      </w:r>
      <w:r>
        <w:rPr>
          <w:rFonts w:ascii="Arial" w:eastAsia="Arial" w:hAnsi="Arial" w:cs="Arial"/>
          <w:color w:val="000000"/>
          <w:sz w:val="24"/>
          <w:szCs w:val="24"/>
        </w:rPr>
        <w:t xml:space="preserve"> Contract.</w:t>
      </w:r>
    </w:p>
    <w:p w:rsidR="00E3369D" w:rsidRDefault="00E3369D">
      <w:pPr>
        <w:pBdr>
          <w:top w:val="nil"/>
          <w:left w:val="nil"/>
          <w:bottom w:val="nil"/>
          <w:right w:val="nil"/>
          <w:between w:val="nil"/>
        </w:pBdr>
        <w:spacing w:before="120" w:after="120" w:line="240" w:lineRule="auto"/>
        <w:ind w:left="936" w:hanging="576"/>
        <w:jc w:val="both"/>
        <w:rPr>
          <w:rFonts w:ascii="Arial" w:eastAsia="Arial" w:hAnsi="Arial" w:cs="Arial"/>
          <w:color w:val="000000"/>
          <w:sz w:val="24"/>
          <w:szCs w:val="24"/>
        </w:rPr>
      </w:pPr>
      <w:bookmarkStart w:id="20" w:name="_heading=h.30j0zll" w:colFirst="0" w:colLast="0"/>
      <w:bookmarkEnd w:id="20"/>
    </w:p>
    <w:sectPr w:rsidR="00E3369D">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4E75" w:rsidRDefault="005D4E75">
      <w:pPr>
        <w:spacing w:after="0" w:line="240" w:lineRule="auto"/>
      </w:pPr>
      <w:r>
        <w:separator/>
      </w:r>
    </w:p>
  </w:endnote>
  <w:endnote w:type="continuationSeparator" w:id="0">
    <w:p w:rsidR="005D4E75" w:rsidRDefault="005D4E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369D" w:rsidRDefault="00E3369D">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369D" w:rsidRDefault="00E3369D">
    <w:pPr>
      <w:tabs>
        <w:tab w:val="center" w:pos="4513"/>
        <w:tab w:val="right" w:pos="9026"/>
      </w:tabs>
      <w:spacing w:after="0" w:line="240" w:lineRule="auto"/>
      <w:jc w:val="both"/>
    </w:pPr>
  </w:p>
  <w:p w:rsidR="00E3369D" w:rsidRDefault="005D4E7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RM6331</w:t>
    </w:r>
    <w:r>
      <w:t xml:space="preserve">     </w:t>
    </w:r>
  </w:p>
  <w:p w:rsidR="00E3369D" w:rsidRDefault="005D4E7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w:t>
    </w:r>
    <w:r>
      <w:rPr>
        <w:rFonts w:ascii="Arial" w:eastAsia="Arial" w:hAnsi="Arial" w:cs="Arial"/>
        <w:sz w:val="20"/>
        <w:szCs w:val="20"/>
      </w:rPr>
      <w:t>1</w:t>
    </w:r>
    <w:r>
      <w:rPr>
        <w:rFonts w:ascii="Arial" w:eastAsia="Arial" w:hAnsi="Arial" w:cs="Arial"/>
        <w:color w:val="000000"/>
        <w:sz w:val="20"/>
        <w:szCs w:val="20"/>
      </w:rPr>
      <w:t>.0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E60818">
      <w:rPr>
        <w:rFonts w:ascii="Arial" w:eastAsia="Arial" w:hAnsi="Arial" w:cs="Arial"/>
        <w:color w:val="000000"/>
        <w:sz w:val="20"/>
        <w:szCs w:val="20"/>
      </w:rPr>
      <w:fldChar w:fldCharType="separate"/>
    </w:r>
    <w:r w:rsidR="00E60818">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E3369D" w:rsidRDefault="005D4E7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369D" w:rsidRDefault="00E3369D">
    <w:pPr>
      <w:tabs>
        <w:tab w:val="center" w:pos="4513"/>
        <w:tab w:val="right" w:pos="9026"/>
      </w:tabs>
      <w:spacing w:after="0" w:line="240" w:lineRule="auto"/>
      <w:jc w:val="both"/>
    </w:pPr>
  </w:p>
  <w:p w:rsidR="00E3369D" w:rsidRDefault="005D4E7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r>
      <w:rPr>
        <w:rFonts w:ascii="Arial" w:eastAsia="Arial" w:hAnsi="Arial" w:cs="Arial"/>
        <w:color w:val="000000"/>
        <w:sz w:val="20"/>
        <w:szCs w:val="20"/>
      </w:rPr>
      <w:tab/>
      <w:t xml:space="preserve">                                           </w:t>
    </w:r>
  </w:p>
  <w:p w:rsidR="00E3369D" w:rsidRDefault="005D4E7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E3369D" w:rsidRDefault="005D4E75">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000000"/>
        <w:sz w:val="20"/>
        <w:szCs w:val="20"/>
      </w:rPr>
      <w:t>Model Version: v2.9</w:t>
    </w:r>
    <w:r>
      <w:rPr>
        <w:rFonts w:ascii="Arial" w:eastAsia="Arial" w:hAnsi="Arial" w:cs="Arial"/>
        <w:color w:val="000000"/>
        <w:sz w:val="20"/>
        <w:szCs w:val="20"/>
      </w:rPr>
      <w:tab/>
    </w:r>
    <w:r>
      <w:rPr>
        <w:rFonts w:ascii="Arial" w:eastAsia="Arial" w:hAnsi="Arial" w:cs="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4E75" w:rsidRDefault="005D4E75">
      <w:pPr>
        <w:spacing w:after="0" w:line="240" w:lineRule="auto"/>
      </w:pPr>
      <w:r>
        <w:separator/>
      </w:r>
    </w:p>
  </w:footnote>
  <w:footnote w:type="continuationSeparator" w:id="0">
    <w:p w:rsidR="005D4E75" w:rsidRDefault="005D4E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369D" w:rsidRDefault="00E3369D">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369D" w:rsidRDefault="005D4E7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14 (</w:t>
    </w:r>
    <w:r>
      <w:rPr>
        <w:rFonts w:ascii="Arial" w:eastAsia="Arial" w:hAnsi="Arial" w:cs="Arial"/>
        <w:b/>
        <w:sz w:val="20"/>
        <w:szCs w:val="20"/>
      </w:rPr>
      <w:t>Key Performance Indicators</w:t>
    </w:r>
    <w:r>
      <w:rPr>
        <w:rFonts w:ascii="Arial" w:eastAsia="Arial" w:hAnsi="Arial" w:cs="Arial"/>
        <w:b/>
        <w:color w:val="000000"/>
        <w:sz w:val="20"/>
        <w:szCs w:val="20"/>
      </w:rPr>
      <w:t>)</w:t>
    </w:r>
  </w:p>
  <w:p w:rsidR="00E3369D" w:rsidRDefault="005D4E7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Ref:</w:t>
    </w:r>
  </w:p>
  <w:p w:rsidR="00E3369D" w:rsidRDefault="005D4E7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23</w:t>
    </w:r>
  </w:p>
  <w:p w:rsidR="00E3369D" w:rsidRDefault="00E3369D">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369D" w:rsidRDefault="00E3369D">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3E3B7D"/>
    <w:multiLevelType w:val="multilevel"/>
    <w:tmpl w:val="B0D8C43E"/>
    <w:lvl w:ilvl="0">
      <w:start w:val="1"/>
      <w:numFmt w:val="decimal"/>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39A704BF"/>
    <w:multiLevelType w:val="multilevel"/>
    <w:tmpl w:val="72549E5C"/>
    <w:lvl w:ilvl="0">
      <w:start w:val="1"/>
      <w:numFmt w:val="decimal"/>
      <w:pStyle w:val="GPSL1CLAUSEHEADING"/>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3600" w:hanging="72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402760DB"/>
    <w:multiLevelType w:val="multilevel"/>
    <w:tmpl w:val="00B6C782"/>
    <w:lvl w:ilvl="0">
      <w:start w:val="1"/>
      <w:numFmt w:val="decimal"/>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6A394E25"/>
    <w:multiLevelType w:val="multilevel"/>
    <w:tmpl w:val="2F02EF50"/>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9ED3D86"/>
    <w:multiLevelType w:val="multilevel"/>
    <w:tmpl w:val="E3084054"/>
    <w:lvl w:ilvl="0">
      <w:start w:val="1"/>
      <w:numFmt w:val="decimal"/>
      <w:pStyle w:val="BodyTextIndent"/>
      <w:lvlText w:val="%1."/>
      <w:lvlJc w:val="left"/>
      <w:pPr>
        <w:ind w:left="720" w:hanging="720"/>
      </w:pPr>
      <w:rPr>
        <w:rFonts w:ascii="Calibri" w:eastAsia="Calibri" w:hAnsi="Calibri" w:cs="Calibri"/>
        <w:b/>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3"/>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369D"/>
    <w:rsid w:val="005D4E75"/>
    <w:rsid w:val="00E3369D"/>
    <w:rsid w:val="00E608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58EF2"/>
  <w15:docId w15:val="{4154BA3B-4BD1-421B-BCFF-B0075DC54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cs="Times New Roma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7">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8">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9">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a">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b">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c">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d">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0">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1">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2">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3">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4">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5">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6">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7">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8">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9">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a">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paragraph" w:styleId="NormalWeb">
    <w:name w:val="Normal (Web)"/>
    <w:basedOn w:val="Normal"/>
    <w:uiPriority w:val="99"/>
    <w:semiHidden/>
    <w:unhideWhenUsed/>
    <w:rsid w:val="00993600"/>
    <w:pPr>
      <w:spacing w:before="100" w:beforeAutospacing="1" w:after="100" w:afterAutospacing="1" w:line="240" w:lineRule="auto"/>
    </w:pPr>
    <w:rPr>
      <w:rFonts w:ascii="Times New Roman" w:eastAsia="Times New Roman" w:hAnsi="Times New Roman"/>
      <w:sz w:val="24"/>
      <w:szCs w:val="24"/>
    </w:rPr>
  </w:style>
  <w:style w:type="table" w:customStyle="1" w:styleId="afb">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c">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d">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e">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0">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1">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2">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3">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4">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5">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6">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7">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8">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9">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a">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b">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c">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d">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e">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f">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f0">
    <w:basedOn w:val="TableNormal"/>
    <w:pPr>
      <w:spacing w:after="0" w:line="240" w:lineRule="auto"/>
    </w:pPr>
    <w:rPr>
      <w:sz w:val="20"/>
      <w:szCs w:val="20"/>
    </w:rPr>
    <w:tblPr>
      <w:tblStyleRowBandSize w:val="1"/>
      <w:tblStyleColBandSize w:val="1"/>
      <w:tblCellMar>
        <w:top w:w="100" w:type="dxa"/>
        <w:left w:w="100" w:type="dxa"/>
        <w:bottom w:w="100" w:type="dxa"/>
        <w:right w:w="100"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gov.uk/government/publications/the-sourcing-and-consultancy-playbooks" TargetMode="External"/><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zrq7Aidpbj94DYH5eu1ihuvRThA==">CgMxLjAyCWguMnM4ZXlvMTIJaC4yZXQ5MnAwMgloLjF0M2g1c2YyCGguZ2pkZ3hzMgloLjFmb2I5dGUyCWguMTdkcDh2dTIJaC4zcmRjcmpuMgloLjI2aW4xcmcyCGgubG54Yno5MgloLjM1bmt1bjIyCWguMWtzdjR1djIJaC40NHNpbmlvMghoLnozMzd5YTIJaC4zajJxcW0zMgloLjF5ODEwdHcyCWguM3pueXNoNzIIaC50eWpjd3QyCWguM2R5NnZrbTIJaC40ZDM0b2c4MgloLjMwajB6bGw4AHIhMVc0U0ZBTFVZUjFhTDVFdkhGZ0Zka1pmYnRranJONjhh</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2154</Words>
  <Characters>12283</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Daniel McCormack</cp:lastModifiedBy>
  <cp:revision>2</cp:revision>
  <dcterms:created xsi:type="dcterms:W3CDTF">2023-07-28T09:03:00Z</dcterms:created>
  <dcterms:modified xsi:type="dcterms:W3CDTF">2023-07-28T09:03:00Z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